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36"/>
          <w:szCs w:val="36"/>
        </w:rPr>
      </w:pPr>
      <w:bookmarkStart w:id="0" w:name="_Toc369077541"/>
      <w:bookmarkStart w:id="1" w:name="_Toc363326675"/>
      <w:bookmarkStart w:id="2" w:name="_Toc387526166"/>
      <w:bookmarkStart w:id="3" w:name="_Toc368759509"/>
    </w:p>
    <w:p>
      <w:pPr>
        <w:spacing w:line="360" w:lineRule="auto"/>
        <w:jc w:val="center"/>
        <w:rPr>
          <w:rFonts w:ascii="宋体" w:hAnsi="宋体"/>
          <w:b/>
          <w:sz w:val="36"/>
          <w:szCs w:val="36"/>
        </w:rPr>
      </w:pPr>
    </w:p>
    <w:p>
      <w:pPr>
        <w:spacing w:line="360" w:lineRule="auto"/>
        <w:jc w:val="center"/>
        <w:rPr>
          <w:rFonts w:ascii="宋体" w:cs="宋体"/>
          <w:b/>
          <w:bCs/>
          <w:kern w:val="0"/>
          <w:sz w:val="36"/>
          <w:szCs w:val="36"/>
        </w:rPr>
      </w:pPr>
      <w:r>
        <w:rPr>
          <w:rFonts w:hint="eastAsia" w:ascii="宋体" w:hAnsi="宋体"/>
          <w:b/>
          <w:sz w:val="36"/>
          <w:szCs w:val="36"/>
        </w:rPr>
        <w:t>B大道以北、湖东路以东地块(暂定名金融商务中心启动区）充电桩采购及安装</w:t>
      </w:r>
    </w:p>
    <w:p>
      <w:pPr>
        <w:spacing w:line="360" w:lineRule="auto"/>
        <w:rPr>
          <w:rFonts w:ascii="宋体" w:cs="宋体"/>
          <w:b/>
          <w:spacing w:val="-20"/>
          <w:sz w:val="72"/>
          <w:szCs w:val="72"/>
        </w:rPr>
      </w:pPr>
    </w:p>
    <w:p>
      <w:pPr>
        <w:spacing w:line="360" w:lineRule="auto"/>
        <w:rPr>
          <w:rFonts w:ascii="宋体" w:cs="宋体"/>
          <w:b/>
          <w:spacing w:val="-20"/>
          <w:sz w:val="72"/>
          <w:szCs w:val="72"/>
        </w:rPr>
      </w:pPr>
    </w:p>
    <w:p>
      <w:pPr>
        <w:spacing w:line="360" w:lineRule="auto"/>
        <w:jc w:val="center"/>
        <w:rPr>
          <w:rFonts w:ascii="宋体" w:hAnsi="宋体" w:cs="宋体"/>
          <w:b/>
          <w:spacing w:val="-20"/>
          <w:sz w:val="52"/>
          <w:szCs w:val="52"/>
        </w:rPr>
      </w:pPr>
      <w:r>
        <w:rPr>
          <w:rFonts w:hint="eastAsia" w:ascii="宋体" w:hAnsi="宋体" w:cs="宋体"/>
          <w:b/>
          <w:spacing w:val="-20"/>
          <w:sz w:val="52"/>
          <w:szCs w:val="52"/>
        </w:rPr>
        <w:t>招标文件</w:t>
      </w:r>
    </w:p>
    <w:p>
      <w:pPr>
        <w:spacing w:line="360" w:lineRule="auto"/>
        <w:jc w:val="center"/>
        <w:rPr>
          <w:rFonts w:eastAsia="楷体_GB2312"/>
          <w:b/>
          <w:sz w:val="30"/>
          <w:szCs w:val="30"/>
        </w:rPr>
      </w:pPr>
      <w:r>
        <w:rPr>
          <w:rFonts w:hint="eastAsia" w:eastAsia="楷体_GB2312"/>
          <w:b/>
          <w:sz w:val="30"/>
          <w:szCs w:val="30"/>
        </w:rPr>
        <w:t>（资格后审）</w:t>
      </w:r>
    </w:p>
    <w:p>
      <w:pPr>
        <w:spacing w:line="360" w:lineRule="auto"/>
        <w:jc w:val="center"/>
        <w:rPr>
          <w:rFonts w:ascii="宋体" w:cs="宋体"/>
          <w:b/>
          <w:sz w:val="44"/>
          <w:szCs w:val="44"/>
        </w:rPr>
      </w:pPr>
    </w:p>
    <w:p>
      <w:pPr>
        <w:spacing w:line="360" w:lineRule="auto"/>
        <w:jc w:val="center"/>
        <w:rPr>
          <w:rFonts w:ascii="宋体" w:cs="宋体"/>
          <w:b/>
          <w:sz w:val="44"/>
          <w:szCs w:val="44"/>
        </w:rPr>
      </w:pPr>
    </w:p>
    <w:p>
      <w:pPr>
        <w:spacing w:line="360" w:lineRule="auto"/>
        <w:jc w:val="center"/>
        <w:rPr>
          <w:rFonts w:ascii="宋体" w:cs="宋体"/>
          <w:b/>
          <w:sz w:val="44"/>
          <w:szCs w:val="44"/>
        </w:rPr>
      </w:pPr>
    </w:p>
    <w:p>
      <w:pPr>
        <w:spacing w:line="360" w:lineRule="auto"/>
        <w:jc w:val="center"/>
        <w:rPr>
          <w:rFonts w:ascii="宋体" w:cs="宋体"/>
          <w:b/>
          <w:sz w:val="44"/>
          <w:szCs w:val="44"/>
        </w:rPr>
      </w:pPr>
    </w:p>
    <w:p>
      <w:pPr>
        <w:spacing w:line="360" w:lineRule="auto"/>
        <w:jc w:val="center"/>
        <w:rPr>
          <w:rFonts w:ascii="宋体" w:cs="宋体"/>
          <w:b/>
          <w:sz w:val="44"/>
          <w:szCs w:val="44"/>
        </w:rPr>
      </w:pPr>
    </w:p>
    <w:p>
      <w:pPr>
        <w:spacing w:line="360" w:lineRule="auto"/>
        <w:ind w:firstLine="1200" w:firstLineChars="400"/>
        <w:rPr>
          <w:rFonts w:hint="eastAsia" w:ascii="宋体" w:eastAsia="宋体" w:cs="宋体"/>
          <w:sz w:val="30"/>
          <w:szCs w:val="30"/>
          <w:u w:val="single"/>
          <w:lang w:eastAsia="zh-CN"/>
        </w:rPr>
      </w:pPr>
      <w:r>
        <w:rPr>
          <w:rFonts w:hint="eastAsia" w:ascii="宋体" w:hAnsi="宋体" w:cs="宋体"/>
          <w:sz w:val="30"/>
          <w:szCs w:val="30"/>
        </w:rPr>
        <w:t>招  标  人：</w:t>
      </w:r>
      <w:r>
        <w:rPr>
          <w:rFonts w:hint="eastAsia" w:ascii="宋体" w:hAnsi="宋体" w:cs="宋体"/>
          <w:sz w:val="30"/>
          <w:szCs w:val="30"/>
          <w:u w:val="single"/>
          <w:lang w:eastAsia="zh-CN"/>
        </w:rPr>
        <w:t>南通创新区管理办公室</w:t>
      </w:r>
    </w:p>
    <w:p>
      <w:pPr>
        <w:spacing w:line="360" w:lineRule="auto"/>
        <w:ind w:firstLine="1200" w:firstLineChars="400"/>
        <w:jc w:val="left"/>
        <w:rPr>
          <w:rFonts w:ascii="宋体" w:cs="宋体"/>
          <w:sz w:val="28"/>
          <w:szCs w:val="28"/>
          <w:u w:val="single"/>
        </w:rPr>
      </w:pPr>
      <w:r>
        <w:rPr>
          <w:rFonts w:hint="eastAsia" w:ascii="宋体" w:hAnsi="宋体" w:cs="宋体"/>
          <w:sz w:val="30"/>
          <w:szCs w:val="30"/>
        </w:rPr>
        <w:t>招标代理人：</w:t>
      </w:r>
      <w:r>
        <w:rPr>
          <w:rFonts w:hint="eastAsia" w:ascii="宋体" w:hAnsi="宋体" w:cs="宋体"/>
          <w:sz w:val="30"/>
          <w:szCs w:val="30"/>
          <w:u w:val="single"/>
        </w:rPr>
        <w:t>江苏新世纪工程项目管理有限公司</w:t>
      </w:r>
    </w:p>
    <w:p>
      <w:pPr>
        <w:spacing w:line="360" w:lineRule="auto"/>
        <w:ind w:firstLine="1200" w:firstLineChars="400"/>
        <w:rPr>
          <w:rFonts w:ascii="宋体" w:cs="宋体"/>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560" w:header="851" w:footer="992" w:gutter="0"/>
          <w:pgNumType w:start="1"/>
          <w:cols w:space="720" w:num="1"/>
          <w:titlePg/>
          <w:docGrid w:linePitch="312" w:charSpace="-5735"/>
        </w:sectPr>
      </w:pPr>
      <w:r>
        <w:rPr>
          <w:rFonts w:hint="eastAsia" w:ascii="宋体" w:hAnsi="宋体" w:cs="宋体"/>
          <w:sz w:val="30"/>
          <w:szCs w:val="30"/>
        </w:rPr>
        <w:t>日      期：</w:t>
      </w:r>
      <w:r>
        <w:rPr>
          <w:rFonts w:ascii="宋体" w:hAnsi="宋体" w:cs="宋体"/>
          <w:sz w:val="30"/>
          <w:szCs w:val="30"/>
          <w:u w:val="single"/>
        </w:rPr>
        <w:t>20</w:t>
      </w:r>
      <w:r>
        <w:rPr>
          <w:rFonts w:hint="eastAsia" w:ascii="宋体" w:hAnsi="宋体" w:cs="宋体"/>
          <w:sz w:val="30"/>
          <w:szCs w:val="30"/>
          <w:u w:val="single"/>
        </w:rPr>
        <w:t>2</w:t>
      </w:r>
      <w:r>
        <w:rPr>
          <w:rFonts w:ascii="宋体" w:hAnsi="宋体" w:cs="宋体"/>
          <w:sz w:val="30"/>
          <w:szCs w:val="30"/>
          <w:u w:val="single"/>
        </w:rPr>
        <w:t>4</w:t>
      </w:r>
      <w:r>
        <w:rPr>
          <w:rFonts w:hint="eastAsia" w:ascii="宋体" w:hAnsi="宋体" w:cs="宋体"/>
          <w:sz w:val="30"/>
          <w:szCs w:val="30"/>
        </w:rPr>
        <w:t>年</w:t>
      </w:r>
      <w:r>
        <w:rPr>
          <w:rFonts w:hint="eastAsia" w:ascii="宋体" w:hAnsi="宋体" w:cs="宋体"/>
          <w:sz w:val="30"/>
          <w:szCs w:val="30"/>
          <w:u w:val="single"/>
        </w:rPr>
        <w:t>04</w:t>
      </w:r>
      <w:r>
        <w:rPr>
          <w:rFonts w:hint="eastAsia" w:ascii="宋体" w:hAnsi="宋体" w:cs="宋体"/>
          <w:sz w:val="30"/>
          <w:szCs w:val="30"/>
        </w:rPr>
        <w:t>月</w:t>
      </w:r>
      <w:r>
        <w:rPr>
          <w:rFonts w:hint="eastAsia" w:ascii="宋体" w:hAnsi="宋体" w:cs="宋体"/>
          <w:sz w:val="30"/>
          <w:szCs w:val="30"/>
          <w:u w:val="single"/>
          <w:lang w:val="en-US" w:eastAsia="zh-CN"/>
        </w:rPr>
        <w:t>17</w:t>
      </w:r>
      <w:r>
        <w:rPr>
          <w:rFonts w:hint="eastAsia" w:ascii="宋体" w:hAnsi="宋体" w:cs="宋体"/>
          <w:sz w:val="30"/>
          <w:szCs w:val="30"/>
        </w:rPr>
        <w:t>日</w:t>
      </w:r>
    </w:p>
    <w:p>
      <w:pPr>
        <w:spacing w:line="360" w:lineRule="auto"/>
        <w:jc w:val="center"/>
        <w:rPr>
          <w:rFonts w:ascii="宋体" w:cs="宋体"/>
          <w:sz w:val="48"/>
          <w:szCs w:val="48"/>
        </w:rPr>
      </w:pPr>
      <w:r>
        <w:rPr>
          <w:rFonts w:hint="eastAsia" w:ascii="宋体" w:hAnsi="宋体" w:cs="宋体"/>
          <w:sz w:val="48"/>
          <w:szCs w:val="48"/>
        </w:rPr>
        <w:t>目 录</w:t>
      </w:r>
    </w:p>
    <w:p>
      <w:pPr>
        <w:pStyle w:val="34"/>
        <w:tabs>
          <w:tab w:val="right" w:leader="dot" w:pos="9628"/>
        </w:tabs>
        <w:spacing w:line="360" w:lineRule="auto"/>
        <w:rPr>
          <w:rFonts w:ascii="宋体"/>
          <w:sz w:val="32"/>
          <w:szCs w:val="32"/>
        </w:rPr>
      </w:pPr>
      <w:r>
        <w:rPr>
          <w:rFonts w:ascii="宋体" w:hAnsi="宋体" w:cs="宋体"/>
          <w:sz w:val="32"/>
          <w:szCs w:val="32"/>
        </w:rPr>
        <w:fldChar w:fldCharType="begin"/>
      </w:r>
      <w:r>
        <w:rPr>
          <w:rFonts w:ascii="宋体" w:hAnsi="宋体" w:cs="宋体"/>
          <w:sz w:val="32"/>
          <w:szCs w:val="32"/>
        </w:rPr>
        <w:instrText xml:space="preserve">TOC \o "1-3" \h  \u </w:instrText>
      </w:r>
      <w:r>
        <w:rPr>
          <w:rFonts w:ascii="宋体" w:hAnsi="宋体" w:cs="宋体"/>
          <w:sz w:val="32"/>
          <w:szCs w:val="32"/>
        </w:rPr>
        <w:fldChar w:fldCharType="separate"/>
      </w:r>
      <w:r>
        <w:fldChar w:fldCharType="begin"/>
      </w:r>
      <w:r>
        <w:instrText xml:space="preserve"> HYPERLINK \l "_Toc508918227" </w:instrText>
      </w:r>
      <w:r>
        <w:fldChar w:fldCharType="separate"/>
      </w:r>
      <w:r>
        <w:rPr>
          <w:rStyle w:val="57"/>
          <w:rFonts w:hint="eastAsia" w:ascii="宋体" w:hAnsi="宋体" w:cs="宋体"/>
          <w:color w:val="auto"/>
          <w:sz w:val="32"/>
          <w:szCs w:val="32"/>
        </w:rPr>
        <w:t>第一章招标公告</w:t>
      </w:r>
      <w:r>
        <w:rPr>
          <w:rFonts w:ascii="宋体"/>
          <w:sz w:val="32"/>
          <w:szCs w:val="32"/>
        </w:rPr>
        <w:tab/>
      </w:r>
      <w:r>
        <w:rPr>
          <w:rFonts w:ascii="宋体" w:hAnsi="宋体"/>
          <w:sz w:val="32"/>
          <w:szCs w:val="32"/>
        </w:rPr>
        <w:fldChar w:fldCharType="begin"/>
      </w:r>
      <w:r>
        <w:rPr>
          <w:rFonts w:ascii="宋体" w:hAnsi="宋体"/>
          <w:sz w:val="32"/>
          <w:szCs w:val="32"/>
        </w:rPr>
        <w:instrText xml:space="preserve"> PAGEREF _Toc508918227 \h </w:instrText>
      </w:r>
      <w:r>
        <w:rPr>
          <w:rFonts w:ascii="宋体" w:hAnsi="宋体"/>
          <w:sz w:val="32"/>
          <w:szCs w:val="32"/>
        </w:rPr>
        <w:fldChar w:fldCharType="separate"/>
      </w:r>
      <w:r>
        <w:rPr>
          <w:rFonts w:ascii="宋体" w:hAnsi="宋体"/>
          <w:sz w:val="32"/>
          <w:szCs w:val="32"/>
        </w:rPr>
        <w:t>3</w:t>
      </w:r>
      <w:r>
        <w:rPr>
          <w:rFonts w:ascii="宋体" w:hAnsi="宋体"/>
          <w:sz w:val="32"/>
          <w:szCs w:val="32"/>
        </w:rPr>
        <w:fldChar w:fldCharType="end"/>
      </w:r>
      <w:r>
        <w:rPr>
          <w:rFonts w:ascii="宋体" w:hAnsi="宋体"/>
          <w:sz w:val="32"/>
          <w:szCs w:val="32"/>
        </w:rPr>
        <w:fldChar w:fldCharType="end"/>
      </w:r>
    </w:p>
    <w:p>
      <w:pPr>
        <w:pStyle w:val="34"/>
        <w:tabs>
          <w:tab w:val="right" w:leader="dot" w:pos="9628"/>
        </w:tabs>
        <w:spacing w:line="360" w:lineRule="auto"/>
        <w:rPr>
          <w:rFonts w:ascii="宋体"/>
          <w:sz w:val="32"/>
          <w:szCs w:val="32"/>
        </w:rPr>
      </w:pPr>
      <w:r>
        <w:fldChar w:fldCharType="begin"/>
      </w:r>
      <w:r>
        <w:instrText xml:space="preserve"> HYPERLINK \l "_Toc508918235" </w:instrText>
      </w:r>
      <w:r>
        <w:fldChar w:fldCharType="separate"/>
      </w:r>
      <w:r>
        <w:rPr>
          <w:rStyle w:val="57"/>
          <w:rFonts w:hint="eastAsia" w:ascii="宋体" w:hAnsi="宋体" w:cs="宋体"/>
          <w:color w:val="auto"/>
          <w:sz w:val="32"/>
          <w:szCs w:val="32"/>
        </w:rPr>
        <w:t>第二章投标人须知</w:t>
      </w:r>
      <w:r>
        <w:rPr>
          <w:rFonts w:ascii="宋体"/>
          <w:sz w:val="32"/>
          <w:szCs w:val="32"/>
        </w:rPr>
        <w:tab/>
      </w:r>
      <w:r>
        <w:rPr>
          <w:rFonts w:ascii="宋体" w:hAnsi="宋体"/>
          <w:sz w:val="32"/>
          <w:szCs w:val="32"/>
        </w:rPr>
        <w:fldChar w:fldCharType="begin"/>
      </w:r>
      <w:r>
        <w:rPr>
          <w:rFonts w:ascii="宋体" w:hAnsi="宋体"/>
          <w:sz w:val="32"/>
          <w:szCs w:val="32"/>
        </w:rPr>
        <w:instrText xml:space="preserve"> PAGEREF _Toc508918235 \h </w:instrText>
      </w:r>
      <w:r>
        <w:rPr>
          <w:rFonts w:ascii="宋体" w:hAnsi="宋体"/>
          <w:sz w:val="32"/>
          <w:szCs w:val="32"/>
        </w:rPr>
        <w:fldChar w:fldCharType="separate"/>
      </w:r>
      <w:r>
        <w:rPr>
          <w:rFonts w:ascii="宋体" w:hAnsi="宋体"/>
          <w:sz w:val="32"/>
          <w:szCs w:val="32"/>
        </w:rPr>
        <w:t>6</w:t>
      </w:r>
      <w:r>
        <w:rPr>
          <w:rFonts w:ascii="宋体" w:hAnsi="宋体"/>
          <w:sz w:val="32"/>
          <w:szCs w:val="32"/>
        </w:rPr>
        <w:fldChar w:fldCharType="end"/>
      </w:r>
      <w:r>
        <w:rPr>
          <w:rFonts w:ascii="宋体" w:hAnsi="宋体"/>
          <w:sz w:val="32"/>
          <w:szCs w:val="32"/>
        </w:rPr>
        <w:fldChar w:fldCharType="end"/>
      </w:r>
    </w:p>
    <w:p>
      <w:pPr>
        <w:pStyle w:val="34"/>
        <w:tabs>
          <w:tab w:val="right" w:leader="dot" w:pos="9628"/>
        </w:tabs>
        <w:spacing w:line="360" w:lineRule="auto"/>
        <w:rPr>
          <w:rFonts w:ascii="宋体"/>
          <w:sz w:val="32"/>
          <w:szCs w:val="32"/>
        </w:rPr>
      </w:pPr>
      <w:r>
        <w:fldChar w:fldCharType="begin"/>
      </w:r>
      <w:r>
        <w:instrText xml:space="preserve"> HYPERLINK \l "_Toc508918287" </w:instrText>
      </w:r>
      <w:r>
        <w:fldChar w:fldCharType="separate"/>
      </w:r>
      <w:r>
        <w:rPr>
          <w:rStyle w:val="57"/>
          <w:rFonts w:hint="eastAsia" w:ascii="宋体" w:hAnsi="宋体" w:cs="宋体"/>
          <w:color w:val="auto"/>
          <w:sz w:val="32"/>
          <w:szCs w:val="32"/>
        </w:rPr>
        <w:t>第三章评标办法（综合评估法）</w:t>
      </w:r>
      <w:r>
        <w:rPr>
          <w:rFonts w:ascii="宋体"/>
          <w:sz w:val="32"/>
          <w:szCs w:val="32"/>
        </w:rPr>
        <w:tab/>
      </w:r>
      <w:r>
        <w:rPr>
          <w:rFonts w:ascii="宋体" w:hAnsi="宋体"/>
          <w:sz w:val="32"/>
          <w:szCs w:val="32"/>
        </w:rPr>
        <w:fldChar w:fldCharType="begin"/>
      </w:r>
      <w:r>
        <w:rPr>
          <w:rFonts w:ascii="宋体" w:hAnsi="宋体"/>
          <w:sz w:val="32"/>
          <w:szCs w:val="32"/>
        </w:rPr>
        <w:instrText xml:space="preserve"> PAGEREF _Toc508918287 \h </w:instrText>
      </w:r>
      <w:r>
        <w:rPr>
          <w:rFonts w:ascii="宋体" w:hAnsi="宋体"/>
          <w:sz w:val="32"/>
          <w:szCs w:val="32"/>
        </w:rPr>
        <w:fldChar w:fldCharType="separate"/>
      </w:r>
      <w:r>
        <w:rPr>
          <w:rFonts w:ascii="宋体" w:hAnsi="宋体"/>
          <w:sz w:val="32"/>
          <w:szCs w:val="32"/>
        </w:rPr>
        <w:t>25</w:t>
      </w:r>
      <w:r>
        <w:rPr>
          <w:rFonts w:ascii="宋体" w:hAnsi="宋体"/>
          <w:sz w:val="32"/>
          <w:szCs w:val="32"/>
        </w:rPr>
        <w:fldChar w:fldCharType="end"/>
      </w:r>
      <w:r>
        <w:rPr>
          <w:rFonts w:ascii="宋体" w:hAnsi="宋体"/>
          <w:sz w:val="32"/>
          <w:szCs w:val="32"/>
        </w:rPr>
        <w:fldChar w:fldCharType="end"/>
      </w:r>
    </w:p>
    <w:p>
      <w:pPr>
        <w:pStyle w:val="34"/>
        <w:tabs>
          <w:tab w:val="right" w:leader="dot" w:pos="9628"/>
        </w:tabs>
        <w:spacing w:line="360" w:lineRule="auto"/>
        <w:rPr>
          <w:rFonts w:ascii="宋体"/>
          <w:sz w:val="32"/>
          <w:szCs w:val="32"/>
        </w:rPr>
      </w:pPr>
      <w:r>
        <w:fldChar w:fldCharType="begin"/>
      </w:r>
      <w:r>
        <w:instrText xml:space="preserve"> HYPERLINK \l "_Toc508918299" </w:instrText>
      </w:r>
      <w:r>
        <w:fldChar w:fldCharType="separate"/>
      </w:r>
      <w:r>
        <w:rPr>
          <w:rStyle w:val="57"/>
          <w:rFonts w:hint="eastAsia" w:ascii="宋体" w:hAnsi="宋体" w:cs="宋体"/>
          <w:color w:val="auto"/>
          <w:sz w:val="32"/>
          <w:szCs w:val="32"/>
        </w:rPr>
        <w:t>第四章合同条款及格式</w:t>
      </w:r>
      <w:r>
        <w:rPr>
          <w:rFonts w:ascii="宋体"/>
          <w:sz w:val="32"/>
          <w:szCs w:val="32"/>
        </w:rPr>
        <w:tab/>
      </w:r>
      <w:r>
        <w:rPr>
          <w:rFonts w:ascii="宋体" w:hAnsi="宋体"/>
          <w:sz w:val="32"/>
          <w:szCs w:val="32"/>
        </w:rPr>
        <w:fldChar w:fldCharType="begin"/>
      </w:r>
      <w:r>
        <w:rPr>
          <w:rFonts w:ascii="宋体" w:hAnsi="宋体"/>
          <w:sz w:val="32"/>
          <w:szCs w:val="32"/>
        </w:rPr>
        <w:instrText xml:space="preserve"> PAGEREF _Toc508918299 \h </w:instrText>
      </w:r>
      <w:r>
        <w:rPr>
          <w:rFonts w:ascii="宋体" w:hAnsi="宋体"/>
          <w:sz w:val="32"/>
          <w:szCs w:val="32"/>
        </w:rPr>
        <w:fldChar w:fldCharType="separate"/>
      </w:r>
      <w:r>
        <w:rPr>
          <w:rFonts w:ascii="宋体" w:hAnsi="宋体"/>
          <w:sz w:val="32"/>
          <w:szCs w:val="32"/>
        </w:rPr>
        <w:t>29</w:t>
      </w:r>
      <w:r>
        <w:rPr>
          <w:rFonts w:ascii="宋体" w:hAnsi="宋体"/>
          <w:sz w:val="32"/>
          <w:szCs w:val="32"/>
        </w:rPr>
        <w:fldChar w:fldCharType="end"/>
      </w:r>
      <w:r>
        <w:rPr>
          <w:rFonts w:ascii="宋体" w:hAnsi="宋体"/>
          <w:sz w:val="32"/>
          <w:szCs w:val="32"/>
        </w:rPr>
        <w:fldChar w:fldCharType="end"/>
      </w:r>
    </w:p>
    <w:p>
      <w:pPr>
        <w:pStyle w:val="34"/>
        <w:tabs>
          <w:tab w:val="right" w:leader="dot" w:pos="9628"/>
        </w:tabs>
        <w:spacing w:line="360" w:lineRule="auto"/>
        <w:rPr>
          <w:rFonts w:ascii="宋体"/>
          <w:sz w:val="32"/>
          <w:szCs w:val="32"/>
        </w:rPr>
      </w:pPr>
      <w:r>
        <w:fldChar w:fldCharType="begin"/>
      </w:r>
      <w:r>
        <w:instrText xml:space="preserve"> HYPERLINK \l "_Toc508918303" </w:instrText>
      </w:r>
      <w:r>
        <w:fldChar w:fldCharType="separate"/>
      </w:r>
      <w:r>
        <w:rPr>
          <w:rStyle w:val="57"/>
          <w:rFonts w:hint="eastAsia" w:ascii="宋体" w:hAnsi="宋体" w:cs="宋体"/>
          <w:color w:val="auto"/>
          <w:sz w:val="32"/>
          <w:szCs w:val="32"/>
        </w:rPr>
        <w:t>第五章项目需求</w:t>
      </w:r>
      <w:r>
        <w:rPr>
          <w:rFonts w:ascii="宋体"/>
          <w:sz w:val="32"/>
          <w:szCs w:val="32"/>
        </w:rPr>
        <w:tab/>
      </w:r>
      <w:r>
        <w:rPr>
          <w:rFonts w:ascii="宋体" w:hAnsi="宋体"/>
          <w:sz w:val="32"/>
          <w:szCs w:val="32"/>
        </w:rPr>
        <w:fldChar w:fldCharType="begin"/>
      </w:r>
      <w:r>
        <w:rPr>
          <w:rFonts w:ascii="宋体" w:hAnsi="宋体"/>
          <w:sz w:val="32"/>
          <w:szCs w:val="32"/>
        </w:rPr>
        <w:instrText xml:space="preserve"> PAGEREF _Toc508918303 \h </w:instrText>
      </w:r>
      <w:r>
        <w:rPr>
          <w:rFonts w:ascii="宋体" w:hAnsi="宋体"/>
          <w:sz w:val="32"/>
          <w:szCs w:val="32"/>
        </w:rPr>
        <w:fldChar w:fldCharType="separate"/>
      </w:r>
      <w:r>
        <w:rPr>
          <w:rFonts w:ascii="宋体" w:hAnsi="宋体"/>
          <w:sz w:val="32"/>
          <w:szCs w:val="32"/>
        </w:rPr>
        <w:t>29</w:t>
      </w:r>
      <w:r>
        <w:rPr>
          <w:rFonts w:ascii="宋体" w:hAnsi="宋体"/>
          <w:sz w:val="32"/>
          <w:szCs w:val="32"/>
        </w:rPr>
        <w:fldChar w:fldCharType="end"/>
      </w:r>
      <w:r>
        <w:rPr>
          <w:rFonts w:ascii="宋体" w:hAnsi="宋体"/>
          <w:sz w:val="32"/>
          <w:szCs w:val="32"/>
        </w:rPr>
        <w:fldChar w:fldCharType="end"/>
      </w:r>
    </w:p>
    <w:p>
      <w:pPr>
        <w:pStyle w:val="34"/>
        <w:tabs>
          <w:tab w:val="right" w:leader="dot" w:pos="9628"/>
        </w:tabs>
        <w:spacing w:line="360" w:lineRule="auto"/>
        <w:rPr>
          <w:rFonts w:ascii="宋体"/>
          <w:sz w:val="32"/>
          <w:szCs w:val="32"/>
        </w:rPr>
      </w:pPr>
      <w:r>
        <w:fldChar w:fldCharType="begin"/>
      </w:r>
      <w:r>
        <w:instrText xml:space="preserve"> HYPERLINK \l "_Toc508918374" </w:instrText>
      </w:r>
      <w:r>
        <w:fldChar w:fldCharType="separate"/>
      </w:r>
      <w:r>
        <w:rPr>
          <w:rStyle w:val="57"/>
          <w:rFonts w:hint="eastAsia" w:ascii="宋体" w:hAnsi="宋体" w:cs="宋体"/>
          <w:color w:val="auto"/>
          <w:sz w:val="32"/>
          <w:szCs w:val="32"/>
        </w:rPr>
        <w:t>第六章投标文件格式</w:t>
      </w:r>
      <w:r>
        <w:rPr>
          <w:rFonts w:ascii="宋体"/>
          <w:sz w:val="32"/>
          <w:szCs w:val="32"/>
        </w:rPr>
        <w:tab/>
      </w:r>
      <w:r>
        <w:rPr>
          <w:rFonts w:ascii="宋体" w:hAnsi="宋体"/>
          <w:sz w:val="32"/>
          <w:szCs w:val="32"/>
        </w:rPr>
        <w:t>42</w:t>
      </w:r>
      <w:r>
        <w:rPr>
          <w:rFonts w:ascii="宋体" w:hAnsi="宋体"/>
          <w:sz w:val="32"/>
          <w:szCs w:val="32"/>
        </w:rPr>
        <w:fldChar w:fldCharType="end"/>
      </w:r>
    </w:p>
    <w:p>
      <w:pPr>
        <w:spacing w:line="360" w:lineRule="auto"/>
        <w:rPr>
          <w:rFonts w:ascii="宋体" w:cs="宋体"/>
        </w:rPr>
        <w:sectPr>
          <w:pgSz w:w="11906" w:h="16838"/>
          <w:pgMar w:top="1134" w:right="1134" w:bottom="1134" w:left="1134" w:header="851" w:footer="992" w:gutter="0"/>
          <w:cols w:space="720" w:num="1"/>
          <w:docGrid w:linePitch="312" w:charSpace="0"/>
        </w:sectPr>
      </w:pPr>
      <w:r>
        <w:rPr>
          <w:rFonts w:ascii="宋体" w:hAnsi="宋体" w:cs="宋体"/>
          <w:sz w:val="32"/>
          <w:szCs w:val="32"/>
        </w:rPr>
        <w:fldChar w:fldCharType="end"/>
      </w:r>
      <w:r>
        <w:rPr>
          <w:rFonts w:ascii="宋体" w:cs="宋体"/>
          <w:b/>
          <w:sz w:val="24"/>
        </w:rPr>
        <w:tab/>
      </w:r>
      <w:r>
        <mc:AlternateContent>
          <mc:Choice Requires="wps">
            <w:drawing>
              <wp:anchor distT="0" distB="0" distL="114300" distR="114300" simplePos="0" relativeHeight="251659264" behindDoc="0" locked="0" layoutInCell="1" allowOverlap="1">
                <wp:simplePos x="0" y="0"/>
                <wp:positionH relativeFrom="column">
                  <wp:posOffset>-263525</wp:posOffset>
                </wp:positionH>
                <wp:positionV relativeFrom="paragraph">
                  <wp:posOffset>-183515</wp:posOffset>
                </wp:positionV>
                <wp:extent cx="1270" cy="1270"/>
                <wp:effectExtent l="8890" t="5715" r="8890" b="12065"/>
                <wp:wrapNone/>
                <wp:docPr id="6" name="Line 2"/>
                <wp:cNvGraphicFramePr/>
                <a:graphic xmlns:a="http://schemas.openxmlformats.org/drawingml/2006/main">
                  <a:graphicData uri="http://schemas.microsoft.com/office/word/2010/wordprocessingShape">
                    <wps:wsp>
                      <wps:cNvCnPr>
                        <a:cxnSpLocks noChangeShapeType="1"/>
                      </wps:cNvCnPr>
                      <wps:spPr bwMode="auto">
                        <a:xfrm>
                          <a:off x="0" y="0"/>
                          <a:ext cx="1270" cy="127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20.75pt;margin-top:-14.45pt;height:0.1pt;width:0.1pt;z-index:251659264;mso-width-relative:page;mso-height-relative:page;" filled="f" stroked="t" coordsize="21600,21600" o:gfxdata="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kRZstgAAAALAQAADwAAAAAAAAABACAAAAAiAAAAZHJzL2Rv&#10;d25yZXYueG1sUEsBAhQAFAAAAAgAh07iQBp4IzLIAQAAnwMAAA4AAAAAAAAAAQAgAAAAJwEAAGRy&#10;cy9lMm9Eb2MueG1sUEsFBgAAAAAGAAYAWQEAAGEFAAAAAA==&#10;">
                <v:fill on="f" focussize="0,0"/>
                <v:stroke color="#000000" joinstyle="round"/>
                <v:imagedata o:title=""/>
                <o:lock v:ext="edit" aspectratio="f"/>
              </v:line>
            </w:pict>
          </mc:Fallback>
        </mc:AlternateContent>
      </w:r>
    </w:p>
    <w:p>
      <w:pPr>
        <w:pStyle w:val="4"/>
        <w:spacing w:before="120" w:after="120" w:line="360" w:lineRule="auto"/>
        <w:rPr>
          <w:rFonts w:ascii="宋体" w:cs="宋体"/>
        </w:rPr>
      </w:pPr>
      <w:bookmarkStart w:id="4" w:name="_Toc387526362"/>
      <w:bookmarkStart w:id="5" w:name="_Toc508918227"/>
      <w:bookmarkStart w:id="6" w:name="_Toc5291"/>
      <w:r>
        <w:rPr>
          <w:rFonts w:hint="eastAsia" w:ascii="宋体" w:hAnsi="宋体" w:cs="宋体"/>
        </w:rPr>
        <w:t>第一章 招标公告</w:t>
      </w:r>
      <w:bookmarkEnd w:id="0"/>
      <w:bookmarkEnd w:id="1"/>
      <w:bookmarkEnd w:id="2"/>
      <w:bookmarkEnd w:id="3"/>
      <w:bookmarkEnd w:id="4"/>
      <w:bookmarkEnd w:id="5"/>
      <w:bookmarkEnd w:id="6"/>
    </w:p>
    <w:p>
      <w:pPr>
        <w:widowControl/>
        <w:spacing w:line="360" w:lineRule="auto"/>
        <w:jc w:val="center"/>
        <w:rPr>
          <w:rFonts w:ascii="宋体" w:hAnsi="宋体" w:cs="宋体"/>
          <w:b/>
          <w:bCs/>
          <w:kern w:val="0"/>
          <w:sz w:val="28"/>
          <w:szCs w:val="28"/>
        </w:rPr>
      </w:pPr>
      <w:bookmarkStart w:id="7" w:name="_Toc368759511"/>
      <w:bookmarkStart w:id="8" w:name="_Toc369077550"/>
      <w:bookmarkStart w:id="9" w:name="OLE_LINK1"/>
      <w:bookmarkStart w:id="10" w:name="OLE_LINK2"/>
      <w:r>
        <w:rPr>
          <w:rFonts w:hint="eastAsia" w:ascii="宋体" w:hAnsi="宋体" w:cs="宋体"/>
          <w:b/>
          <w:bCs/>
          <w:kern w:val="0"/>
          <w:sz w:val="28"/>
          <w:szCs w:val="28"/>
        </w:rPr>
        <w:t>B大道以北、湖东路以东地块(暂定名金融商务中心启动区）充电桩采购及安装招标公告</w:t>
      </w:r>
      <w:r>
        <w:rPr>
          <w:rFonts w:hint="eastAsia" w:ascii="宋体" w:hAnsi="宋体" w:cs="宋体"/>
          <w:kern w:val="0"/>
          <w:sz w:val="28"/>
          <w:szCs w:val="28"/>
        </w:rPr>
        <w:t>（资格后审）</w:t>
      </w:r>
    </w:p>
    <w:p>
      <w:pPr>
        <w:widowControl/>
        <w:spacing w:line="360" w:lineRule="auto"/>
        <w:jc w:val="left"/>
        <w:outlineLvl w:val="1"/>
        <w:rPr>
          <w:rFonts w:ascii="宋体" w:cs="宋体"/>
          <w:b/>
          <w:kern w:val="0"/>
          <w:sz w:val="24"/>
        </w:rPr>
      </w:pPr>
      <w:r>
        <w:rPr>
          <w:rFonts w:ascii="宋体" w:hAnsi="宋体" w:cs="宋体"/>
          <w:b/>
          <w:kern w:val="0"/>
          <w:sz w:val="24"/>
        </w:rPr>
        <w:t>1.</w:t>
      </w:r>
      <w:r>
        <w:rPr>
          <w:rFonts w:hint="eastAsia" w:ascii="宋体" w:hAnsi="宋体" w:cs="宋体"/>
          <w:b/>
          <w:kern w:val="0"/>
          <w:sz w:val="24"/>
        </w:rPr>
        <w:t>招标条件</w:t>
      </w:r>
    </w:p>
    <w:p>
      <w:pPr>
        <w:widowControl/>
        <w:spacing w:line="360" w:lineRule="auto"/>
        <w:ind w:firstLine="422"/>
        <w:jc w:val="left"/>
        <w:outlineLvl w:val="1"/>
        <w:rPr>
          <w:rFonts w:ascii="宋体" w:cs="宋体"/>
          <w:kern w:val="0"/>
          <w:sz w:val="24"/>
        </w:rPr>
      </w:pPr>
      <w:r>
        <w:rPr>
          <w:rFonts w:hint="eastAsia" w:ascii="宋体" w:hAnsi="宋体" w:cs="宋体"/>
          <w:kern w:val="0"/>
          <w:sz w:val="24"/>
          <w:u w:val="single"/>
        </w:rPr>
        <w:t>B大道以北、湖东路以东地块(暂定名金融商务中心启动区）充电桩采购及安装</w:t>
      </w:r>
      <w:r>
        <w:rPr>
          <w:rFonts w:hint="eastAsia" w:ascii="宋体" w:hAnsi="宋体" w:cs="宋体"/>
          <w:kern w:val="0"/>
          <w:sz w:val="24"/>
        </w:rPr>
        <w:t>已经批准建设。招标人为</w:t>
      </w:r>
      <w:r>
        <w:rPr>
          <w:rFonts w:hint="eastAsia" w:ascii="宋体" w:hAnsi="宋体" w:cs="宋体"/>
          <w:kern w:val="0"/>
          <w:sz w:val="24"/>
          <w:u w:val="single"/>
          <w:lang w:eastAsia="zh-CN"/>
        </w:rPr>
        <w:t>南通创新区管理办公室</w:t>
      </w:r>
      <w:r>
        <w:rPr>
          <w:rFonts w:hint="eastAsia" w:ascii="宋体" w:hAnsi="宋体" w:cs="宋体"/>
          <w:kern w:val="0"/>
          <w:sz w:val="24"/>
        </w:rPr>
        <w:t>，招标代理机构为</w:t>
      </w:r>
      <w:r>
        <w:rPr>
          <w:rFonts w:hint="eastAsia" w:ascii="宋体" w:hAnsi="宋体" w:cs="宋体"/>
          <w:kern w:val="0"/>
          <w:sz w:val="24"/>
          <w:u w:val="single"/>
        </w:rPr>
        <w:t>江苏新世纪工程项目管理有限公司</w:t>
      </w:r>
      <w:r>
        <w:rPr>
          <w:rFonts w:hint="eastAsia" w:ascii="宋体" w:hAnsi="宋体" w:cs="宋体"/>
          <w:kern w:val="0"/>
          <w:sz w:val="24"/>
        </w:rPr>
        <w:t>，建设资金来自</w:t>
      </w:r>
      <w:r>
        <w:rPr>
          <w:rFonts w:hint="eastAsia" w:ascii="宋体" w:hAnsi="宋体" w:cs="宋体"/>
          <w:kern w:val="0"/>
          <w:sz w:val="24"/>
          <w:u w:val="single"/>
        </w:rPr>
        <w:t>自筹</w:t>
      </w:r>
      <w:r>
        <w:rPr>
          <w:rFonts w:hint="eastAsia" w:ascii="宋体" w:hAnsi="宋体" w:cs="宋体"/>
          <w:kern w:val="0"/>
          <w:sz w:val="24"/>
        </w:rPr>
        <w:t>。项目已具备招标条件，现对该项目进行公开招标。</w:t>
      </w:r>
    </w:p>
    <w:p>
      <w:pPr>
        <w:widowControl/>
        <w:spacing w:line="360" w:lineRule="auto"/>
        <w:jc w:val="left"/>
        <w:outlineLvl w:val="1"/>
        <w:rPr>
          <w:rFonts w:ascii="宋体" w:cs="宋体"/>
          <w:b/>
          <w:kern w:val="0"/>
          <w:sz w:val="24"/>
        </w:rPr>
      </w:pPr>
      <w:r>
        <w:rPr>
          <w:rFonts w:ascii="宋体" w:hAnsi="宋体" w:cs="宋体"/>
          <w:b/>
          <w:kern w:val="0"/>
          <w:sz w:val="24"/>
        </w:rPr>
        <w:t>2.</w:t>
      </w:r>
      <w:r>
        <w:rPr>
          <w:rFonts w:hint="eastAsia" w:ascii="宋体" w:hAnsi="宋体" w:cs="宋体"/>
          <w:b/>
          <w:kern w:val="0"/>
          <w:sz w:val="24"/>
        </w:rPr>
        <w:t>项目概况与招标范围</w:t>
      </w:r>
    </w:p>
    <w:p>
      <w:pPr>
        <w:widowControl/>
        <w:spacing w:line="360" w:lineRule="auto"/>
        <w:ind w:firstLine="422"/>
        <w:jc w:val="left"/>
        <w:outlineLvl w:val="1"/>
        <w:rPr>
          <w:rFonts w:ascii="宋体" w:hAnsi="宋体" w:cs="宋体"/>
          <w:color w:val="auto"/>
          <w:kern w:val="0"/>
          <w:sz w:val="24"/>
          <w:highlight w:val="none"/>
        </w:rPr>
      </w:pPr>
      <w:bookmarkStart w:id="11" w:name="_Toc144805853"/>
      <w:r>
        <w:rPr>
          <w:rFonts w:hint="eastAsia" w:ascii="宋体" w:hAnsi="宋体" w:cs="宋体"/>
          <w:color w:val="auto"/>
          <w:kern w:val="0"/>
          <w:sz w:val="24"/>
          <w:highlight w:val="none"/>
        </w:rPr>
        <w:t>2.1项目规模：合同估算价约人民币</w:t>
      </w:r>
      <w:r>
        <w:rPr>
          <w:rFonts w:hint="eastAsia" w:ascii="宋体" w:hAnsi="宋体" w:cs="宋体"/>
          <w:color w:val="auto"/>
          <w:kern w:val="0"/>
          <w:sz w:val="24"/>
          <w:highlight w:val="none"/>
          <w:u w:val="single"/>
          <w:lang w:val="en-US" w:eastAsia="zh-CN"/>
        </w:rPr>
        <w:t>86.73</w:t>
      </w:r>
      <w:r>
        <w:rPr>
          <w:rFonts w:hint="eastAsia" w:ascii="宋体" w:hAnsi="宋体" w:cs="宋体"/>
          <w:color w:val="auto"/>
          <w:kern w:val="0"/>
          <w:sz w:val="24"/>
          <w:highlight w:val="none"/>
        </w:rPr>
        <w:t>万元。</w:t>
      </w:r>
      <w:bookmarkEnd w:id="11"/>
    </w:p>
    <w:p>
      <w:pPr>
        <w:widowControl/>
        <w:spacing w:line="360" w:lineRule="auto"/>
        <w:ind w:firstLine="422"/>
        <w:jc w:val="left"/>
        <w:outlineLvl w:val="1"/>
        <w:rPr>
          <w:rFonts w:ascii="宋体" w:hAnsi="宋体" w:cs="宋体"/>
          <w:spacing w:val="-6"/>
          <w:kern w:val="0"/>
          <w:sz w:val="24"/>
        </w:rPr>
      </w:pPr>
      <w:bookmarkStart w:id="12" w:name="_Toc144805854"/>
      <w:r>
        <w:rPr>
          <w:rFonts w:hint="eastAsia" w:ascii="宋体" w:hAnsi="宋体" w:cs="宋体"/>
          <w:kern w:val="0"/>
          <w:sz w:val="24"/>
        </w:rPr>
        <w:t>2.2招标范围：</w:t>
      </w:r>
      <w:r>
        <w:rPr>
          <w:rFonts w:hint="eastAsia" w:ascii="宋体" w:hAnsi="宋体" w:cs="宋体"/>
          <w:spacing w:val="-6"/>
          <w:kern w:val="0"/>
          <w:sz w:val="24"/>
        </w:rPr>
        <w:t>B大道以北、湖东路以东地块(暂定名金融商务中心启动区）充电桩采购及安装，</w:t>
      </w:r>
      <w:bookmarkEnd w:id="12"/>
      <w:r>
        <w:rPr>
          <w:rFonts w:hint="eastAsia" w:ascii="宋体" w:hAnsi="宋体" w:cs="宋体"/>
          <w:spacing w:val="-6"/>
          <w:kern w:val="0"/>
          <w:sz w:val="24"/>
        </w:rPr>
        <w:t>包括但不限于6</w:t>
      </w:r>
      <w:r>
        <w:rPr>
          <w:rFonts w:hint="eastAsia" w:ascii="宋体" w:hAnsi="宋体" w:cs="宋体"/>
          <w:spacing w:val="-6"/>
          <w:kern w:val="0"/>
          <w:sz w:val="24"/>
          <w:lang w:val="en-US" w:eastAsia="zh-CN"/>
        </w:rPr>
        <w:t>21</w:t>
      </w:r>
      <w:r>
        <w:rPr>
          <w:rFonts w:hint="eastAsia" w:ascii="宋体" w:hAnsi="宋体" w:cs="宋体"/>
          <w:spacing w:val="-6"/>
          <w:kern w:val="0"/>
          <w:sz w:val="24"/>
        </w:rPr>
        <w:t>个7kw充电桩、300个落地支架采购、安装、调试、验收、维保等伴随服务，具体详见工程量清单及施工图。上述数量为暂估，最终以实际安装数量为准。</w:t>
      </w:r>
    </w:p>
    <w:p>
      <w:pPr>
        <w:widowControl/>
        <w:spacing w:line="360" w:lineRule="auto"/>
        <w:ind w:firstLine="422"/>
        <w:jc w:val="left"/>
        <w:outlineLvl w:val="1"/>
        <w:rPr>
          <w:rFonts w:ascii="宋体" w:hAnsi="宋体" w:cs="宋体"/>
          <w:kern w:val="0"/>
          <w:sz w:val="24"/>
        </w:rPr>
      </w:pPr>
      <w:bookmarkStart w:id="13" w:name="_Toc144805855"/>
      <w:r>
        <w:rPr>
          <w:rFonts w:hint="eastAsia" w:ascii="宋体" w:hAnsi="宋体" w:cs="宋体"/>
          <w:kern w:val="0"/>
          <w:sz w:val="24"/>
        </w:rPr>
        <w:t>2.3交货地点：B大道以北、湖东路以东，具体按招标人指定地点送货。</w:t>
      </w:r>
      <w:bookmarkEnd w:id="13"/>
    </w:p>
    <w:p>
      <w:pPr>
        <w:widowControl/>
        <w:spacing w:line="360" w:lineRule="auto"/>
        <w:ind w:firstLine="422"/>
        <w:jc w:val="left"/>
        <w:outlineLvl w:val="1"/>
        <w:rPr>
          <w:rFonts w:ascii="宋体" w:hAnsi="宋体" w:cs="宋体"/>
          <w:kern w:val="0"/>
          <w:sz w:val="24"/>
        </w:rPr>
      </w:pPr>
      <w:bookmarkStart w:id="14" w:name="_Toc144805856"/>
      <w:r>
        <w:rPr>
          <w:rFonts w:hint="eastAsia" w:ascii="宋体" w:hAnsi="宋体" w:cs="宋体"/>
          <w:kern w:val="0"/>
          <w:sz w:val="24"/>
        </w:rPr>
        <w:t>2.4工期：60日历天；计划开工日期：2024年5月，计划竣工日期：2024年7月。</w:t>
      </w:r>
    </w:p>
    <w:bookmarkEnd w:id="14"/>
    <w:p>
      <w:pPr>
        <w:widowControl/>
        <w:spacing w:line="360" w:lineRule="auto"/>
        <w:ind w:firstLine="422"/>
        <w:jc w:val="left"/>
        <w:outlineLvl w:val="1"/>
        <w:rPr>
          <w:rFonts w:ascii="宋体" w:hAnsi="宋体" w:cs="宋体"/>
          <w:kern w:val="0"/>
          <w:sz w:val="24"/>
        </w:rPr>
      </w:pPr>
      <w:bookmarkStart w:id="15" w:name="_Toc144805857"/>
      <w:r>
        <w:rPr>
          <w:rFonts w:hint="eastAsia" w:ascii="宋体" w:hAnsi="宋体" w:cs="宋体"/>
          <w:kern w:val="0"/>
          <w:sz w:val="24"/>
        </w:rPr>
        <w:t>2.5质量：合格。</w:t>
      </w:r>
      <w:bookmarkEnd w:id="15"/>
    </w:p>
    <w:p>
      <w:pPr>
        <w:widowControl/>
        <w:spacing w:line="360" w:lineRule="auto"/>
        <w:jc w:val="left"/>
        <w:outlineLvl w:val="1"/>
        <w:rPr>
          <w:rFonts w:ascii="宋体" w:cs="宋体"/>
          <w:b/>
          <w:kern w:val="0"/>
          <w:sz w:val="24"/>
        </w:rPr>
      </w:pPr>
      <w:r>
        <w:rPr>
          <w:rFonts w:ascii="宋体" w:hAnsi="宋体" w:cs="宋体"/>
          <w:b/>
          <w:kern w:val="0"/>
          <w:sz w:val="24"/>
        </w:rPr>
        <w:t>3.</w:t>
      </w:r>
      <w:r>
        <w:rPr>
          <w:rFonts w:hint="eastAsia" w:ascii="宋体" w:hAnsi="宋体" w:cs="宋体"/>
          <w:b/>
          <w:kern w:val="0"/>
          <w:sz w:val="24"/>
        </w:rPr>
        <w:t>投标人资格要求</w:t>
      </w:r>
    </w:p>
    <w:p>
      <w:pPr>
        <w:widowControl/>
        <w:spacing w:line="360" w:lineRule="auto"/>
        <w:ind w:firstLine="422"/>
        <w:jc w:val="left"/>
        <w:outlineLvl w:val="1"/>
        <w:rPr>
          <w:rFonts w:ascii="宋体" w:hAnsi="宋体" w:cs="宋体"/>
          <w:kern w:val="0"/>
          <w:sz w:val="24"/>
        </w:rPr>
      </w:pPr>
      <w:r>
        <w:rPr>
          <w:rFonts w:hint="eastAsia" w:ascii="宋体" w:hAnsi="宋体" w:cs="宋体"/>
          <w:kern w:val="0"/>
          <w:sz w:val="24"/>
        </w:rPr>
        <w:t>3.1具有独立订立合同的能力；</w:t>
      </w:r>
    </w:p>
    <w:p>
      <w:pPr>
        <w:widowControl/>
        <w:spacing w:line="360" w:lineRule="auto"/>
        <w:ind w:firstLine="422"/>
        <w:jc w:val="left"/>
        <w:outlineLvl w:val="1"/>
        <w:rPr>
          <w:rFonts w:ascii="宋体" w:hAnsi="宋体" w:cs="宋体"/>
          <w:kern w:val="0"/>
          <w:sz w:val="24"/>
        </w:rPr>
      </w:pPr>
      <w:r>
        <w:rPr>
          <w:rFonts w:hint="eastAsia" w:ascii="宋体" w:hAnsi="宋体" w:cs="宋体"/>
          <w:kern w:val="0"/>
          <w:sz w:val="24"/>
        </w:rPr>
        <w:t>3.2未处于被责令停业、投标资格被取消或者财产被接管、冻结和破产状态；</w:t>
      </w:r>
    </w:p>
    <w:p>
      <w:pPr>
        <w:widowControl/>
        <w:spacing w:line="360" w:lineRule="auto"/>
        <w:ind w:firstLine="422"/>
        <w:jc w:val="left"/>
        <w:outlineLvl w:val="1"/>
        <w:rPr>
          <w:rFonts w:ascii="宋体" w:hAnsi="宋体" w:cs="宋体"/>
          <w:kern w:val="0"/>
          <w:sz w:val="24"/>
        </w:rPr>
      </w:pPr>
      <w:r>
        <w:rPr>
          <w:rFonts w:hint="eastAsia" w:ascii="宋体" w:hAnsi="宋体" w:cs="宋体"/>
          <w:kern w:val="0"/>
          <w:sz w:val="24"/>
        </w:rPr>
        <w:t>3.3企业没有因骗取中标或者严重违约以及发生重大工程质量、安全生产事故等违法违规问题，被有关部门暂停投标资格并在暂停期内的（以江苏省住房和城乡建设厅公告为准）；</w:t>
      </w:r>
    </w:p>
    <w:p>
      <w:pPr>
        <w:widowControl/>
        <w:spacing w:line="360" w:lineRule="auto"/>
        <w:ind w:firstLine="422"/>
        <w:jc w:val="left"/>
        <w:outlineLvl w:val="1"/>
        <w:rPr>
          <w:rFonts w:ascii="宋体" w:hAnsi="宋体" w:cs="宋体"/>
          <w:kern w:val="0"/>
          <w:sz w:val="24"/>
        </w:rPr>
      </w:pPr>
      <w:r>
        <w:rPr>
          <w:rFonts w:hint="eastAsia" w:ascii="宋体" w:hAnsi="宋体" w:cs="宋体"/>
          <w:kern w:val="0"/>
          <w:sz w:val="24"/>
        </w:rPr>
        <w:t>3.4投标人不得有招标文件第二章投标人须知第1.4.3项规定的情形；</w:t>
      </w:r>
    </w:p>
    <w:p>
      <w:pPr>
        <w:widowControl/>
        <w:spacing w:line="360" w:lineRule="auto"/>
        <w:ind w:firstLine="422"/>
        <w:jc w:val="left"/>
        <w:outlineLvl w:val="1"/>
        <w:rPr>
          <w:rFonts w:ascii="宋体" w:hAnsi="宋体" w:cs="宋体"/>
          <w:kern w:val="0"/>
          <w:sz w:val="24"/>
        </w:rPr>
      </w:pPr>
      <w:r>
        <w:rPr>
          <w:rFonts w:hint="eastAsia" w:ascii="宋体" w:hAnsi="宋体" w:cs="宋体"/>
          <w:kern w:val="0"/>
          <w:sz w:val="24"/>
        </w:rPr>
        <w:t>3.5本次招标不接受联合体投标；</w:t>
      </w:r>
    </w:p>
    <w:p>
      <w:pPr>
        <w:widowControl/>
        <w:spacing w:line="360" w:lineRule="auto"/>
        <w:ind w:firstLine="422"/>
        <w:jc w:val="left"/>
        <w:outlineLvl w:val="1"/>
        <w:rPr>
          <w:rFonts w:ascii="宋体" w:hAnsi="宋体" w:cs="宋体"/>
          <w:kern w:val="0"/>
          <w:sz w:val="24"/>
        </w:rPr>
      </w:pPr>
      <w:r>
        <w:rPr>
          <w:rFonts w:hint="eastAsia" w:ascii="宋体" w:hAnsi="宋体" w:cs="宋体"/>
          <w:kern w:val="0"/>
          <w:sz w:val="24"/>
        </w:rPr>
        <w:t>3.6符合相关法律、法规规定的其他要求。</w:t>
      </w:r>
    </w:p>
    <w:p>
      <w:pPr>
        <w:widowControl/>
        <w:spacing w:line="360" w:lineRule="auto"/>
        <w:jc w:val="left"/>
        <w:outlineLvl w:val="1"/>
        <w:rPr>
          <w:rFonts w:ascii="宋体" w:cs="宋体"/>
          <w:b/>
          <w:kern w:val="0"/>
          <w:sz w:val="24"/>
        </w:rPr>
      </w:pPr>
      <w:r>
        <w:rPr>
          <w:rFonts w:ascii="宋体" w:hAnsi="宋体" w:cs="宋体"/>
          <w:b/>
          <w:kern w:val="0"/>
          <w:sz w:val="24"/>
        </w:rPr>
        <w:t xml:space="preserve">4. </w:t>
      </w:r>
      <w:r>
        <w:rPr>
          <w:rFonts w:hint="eastAsia" w:ascii="宋体" w:hAnsi="宋体" w:cs="宋体"/>
          <w:b/>
          <w:kern w:val="0"/>
          <w:sz w:val="24"/>
        </w:rPr>
        <w:t>评标办法</w:t>
      </w:r>
    </w:p>
    <w:p>
      <w:pPr>
        <w:widowControl/>
        <w:spacing w:line="360" w:lineRule="auto"/>
        <w:ind w:firstLine="422"/>
        <w:jc w:val="left"/>
        <w:outlineLvl w:val="1"/>
        <w:rPr>
          <w:rFonts w:ascii="宋体" w:cs="宋体"/>
          <w:kern w:val="0"/>
          <w:sz w:val="24"/>
        </w:rPr>
      </w:pPr>
      <w:r>
        <w:rPr>
          <w:rFonts w:hint="eastAsia" w:ascii="宋体" w:hAnsi="宋体" w:cs="宋体"/>
          <w:sz w:val="24"/>
        </w:rPr>
        <w:t>本次招标采用</w:t>
      </w:r>
      <w:r>
        <w:rPr>
          <w:rFonts w:hint="eastAsia" w:ascii="宋体" w:hAnsi="宋体" w:cs="宋体"/>
          <w:kern w:val="0"/>
          <w:sz w:val="24"/>
          <w:u w:val="single"/>
        </w:rPr>
        <w:t>综合评估法</w:t>
      </w:r>
      <w:r>
        <w:rPr>
          <w:rFonts w:hint="eastAsia" w:ascii="宋体" w:hAnsi="宋体" w:cs="宋体"/>
          <w:sz w:val="24"/>
        </w:rPr>
        <w:t>，</w:t>
      </w:r>
      <w:r>
        <w:rPr>
          <w:rFonts w:hint="eastAsia" w:ascii="宋体" w:hAnsi="宋体" w:cs="宋体"/>
          <w:kern w:val="0"/>
          <w:sz w:val="24"/>
        </w:rPr>
        <w:t>详见招标文件第三章。</w:t>
      </w:r>
    </w:p>
    <w:p>
      <w:pPr>
        <w:widowControl/>
        <w:spacing w:line="360" w:lineRule="auto"/>
        <w:jc w:val="left"/>
        <w:outlineLvl w:val="1"/>
        <w:rPr>
          <w:rFonts w:ascii="宋体" w:cs="宋体"/>
          <w:b/>
          <w:kern w:val="0"/>
          <w:sz w:val="24"/>
        </w:rPr>
      </w:pPr>
      <w:r>
        <w:rPr>
          <w:rFonts w:ascii="宋体" w:hAnsi="宋体" w:cs="宋体"/>
          <w:b/>
          <w:kern w:val="0"/>
          <w:sz w:val="24"/>
        </w:rPr>
        <w:t>5.</w:t>
      </w:r>
      <w:r>
        <w:rPr>
          <w:rFonts w:hint="eastAsia" w:ascii="宋体" w:hAnsi="宋体" w:cs="宋体"/>
          <w:b/>
          <w:kern w:val="0"/>
          <w:sz w:val="24"/>
        </w:rPr>
        <w:t>资格审查方式</w:t>
      </w:r>
    </w:p>
    <w:p>
      <w:pPr>
        <w:widowControl/>
        <w:spacing w:line="360" w:lineRule="auto"/>
        <w:ind w:firstLine="422"/>
        <w:jc w:val="left"/>
        <w:outlineLvl w:val="1"/>
        <w:rPr>
          <w:rFonts w:ascii="宋体" w:cs="宋体"/>
          <w:kern w:val="0"/>
          <w:sz w:val="24"/>
        </w:rPr>
      </w:pPr>
      <w:r>
        <w:rPr>
          <w:rFonts w:hint="eastAsia" w:ascii="宋体" w:hAnsi="宋体" w:cs="宋体"/>
          <w:kern w:val="0"/>
          <w:sz w:val="24"/>
        </w:rPr>
        <w:t>本次招标采用</w:t>
      </w:r>
      <w:r>
        <w:rPr>
          <w:rFonts w:hint="eastAsia" w:ascii="宋体" w:hAnsi="宋体" w:cs="宋体"/>
          <w:kern w:val="0"/>
          <w:sz w:val="24"/>
          <w:u w:val="single"/>
        </w:rPr>
        <w:t>资格后审</w:t>
      </w:r>
      <w:r>
        <w:rPr>
          <w:rFonts w:hint="eastAsia" w:ascii="宋体" w:hAnsi="宋体" w:cs="宋体"/>
          <w:kern w:val="0"/>
          <w:sz w:val="24"/>
        </w:rPr>
        <w:t>方式，审查方式为合格制。资格后审在开标初步评审阶段进行审查，资格后审不合格的投标人不再参加后续评审。</w:t>
      </w:r>
    </w:p>
    <w:p>
      <w:pPr>
        <w:widowControl/>
        <w:spacing w:line="360" w:lineRule="auto"/>
        <w:jc w:val="left"/>
        <w:outlineLvl w:val="1"/>
        <w:rPr>
          <w:rFonts w:ascii="宋体" w:cs="宋体"/>
          <w:b/>
          <w:kern w:val="0"/>
          <w:sz w:val="24"/>
        </w:rPr>
      </w:pPr>
      <w:r>
        <w:rPr>
          <w:rFonts w:ascii="宋体" w:hAnsi="宋体" w:cs="宋体"/>
          <w:b/>
          <w:kern w:val="0"/>
          <w:sz w:val="24"/>
        </w:rPr>
        <w:t xml:space="preserve">6. </w:t>
      </w:r>
      <w:r>
        <w:rPr>
          <w:rFonts w:hint="eastAsia" w:ascii="宋体" w:hAnsi="宋体" w:cs="宋体"/>
          <w:b/>
          <w:kern w:val="0"/>
          <w:sz w:val="24"/>
        </w:rPr>
        <w:t>招标文件的获取</w:t>
      </w:r>
    </w:p>
    <w:p>
      <w:pPr>
        <w:widowControl/>
        <w:spacing w:line="360" w:lineRule="auto"/>
        <w:ind w:firstLine="422"/>
        <w:jc w:val="left"/>
        <w:outlineLvl w:val="1"/>
        <w:rPr>
          <w:rFonts w:ascii="宋体" w:hAnsi="宋体" w:cs="宋体"/>
          <w:kern w:val="0"/>
          <w:sz w:val="24"/>
          <w:u w:val="single"/>
        </w:rPr>
      </w:pPr>
      <w:r>
        <w:rPr>
          <w:rFonts w:ascii="宋体" w:hAnsi="宋体" w:cs="宋体"/>
          <w:kern w:val="0"/>
          <w:sz w:val="24"/>
        </w:rPr>
        <w:t>6.1</w:t>
      </w:r>
      <w:r>
        <w:rPr>
          <w:rFonts w:hint="eastAsia" w:ascii="宋体" w:hAnsi="宋体" w:cs="宋体"/>
          <w:kern w:val="0"/>
          <w:sz w:val="24"/>
        </w:rPr>
        <w:t>获取时间：</w:t>
      </w:r>
      <w:r>
        <w:rPr>
          <w:rFonts w:hint="eastAsia" w:ascii="宋体" w:hAnsi="宋体" w:cs="宋体"/>
          <w:kern w:val="0"/>
          <w:sz w:val="24"/>
          <w:u w:val="none"/>
          <w:lang w:val="en-US" w:eastAsia="zh-CN"/>
        </w:rPr>
        <w:t>自本公告发布之日起</w:t>
      </w:r>
      <w:r>
        <w:rPr>
          <w:rFonts w:hint="eastAsia" w:ascii="宋体" w:hAnsi="宋体" w:cs="宋体"/>
          <w:kern w:val="0"/>
          <w:sz w:val="24"/>
        </w:rPr>
        <w:t>至</w:t>
      </w:r>
      <w:r>
        <w:rPr>
          <w:rFonts w:hint="eastAsia" w:ascii="宋体" w:hAnsi="宋体" w:cs="宋体"/>
          <w:kern w:val="0"/>
          <w:sz w:val="24"/>
          <w:u w:val="single"/>
        </w:rPr>
        <w:t>202</w:t>
      </w:r>
      <w:r>
        <w:rPr>
          <w:rFonts w:ascii="宋体" w:hAnsi="宋体" w:cs="宋体"/>
          <w:kern w:val="0"/>
          <w:sz w:val="24"/>
          <w:u w:val="single"/>
        </w:rPr>
        <w:t>4</w:t>
      </w:r>
      <w:r>
        <w:rPr>
          <w:rFonts w:hint="eastAsia" w:ascii="宋体" w:hAnsi="宋体" w:cs="宋体"/>
          <w:kern w:val="0"/>
          <w:sz w:val="24"/>
          <w:u w:val="single"/>
        </w:rPr>
        <w:t>年</w:t>
      </w:r>
      <w:r>
        <w:rPr>
          <w:rFonts w:hint="eastAsia" w:ascii="宋体" w:hAnsi="宋体" w:cs="宋体"/>
          <w:kern w:val="0"/>
          <w:sz w:val="24"/>
          <w:u w:val="single"/>
          <w:lang w:val="en-US" w:eastAsia="zh-CN"/>
        </w:rPr>
        <w:t>5</w:t>
      </w:r>
      <w:r>
        <w:rPr>
          <w:rFonts w:hint="eastAsia" w:ascii="宋体" w:hAnsi="宋体" w:cs="宋体"/>
          <w:kern w:val="0"/>
          <w:sz w:val="24"/>
          <w:u w:val="single"/>
        </w:rPr>
        <w:t>月</w:t>
      </w:r>
      <w:r>
        <w:rPr>
          <w:rFonts w:hint="eastAsia" w:ascii="宋体" w:hAnsi="宋体" w:cs="宋体"/>
          <w:kern w:val="0"/>
          <w:sz w:val="24"/>
          <w:u w:val="single"/>
          <w:lang w:val="en-US" w:eastAsia="zh-CN"/>
        </w:rPr>
        <w:t>8</w:t>
      </w:r>
      <w:r>
        <w:rPr>
          <w:rFonts w:hint="eastAsia" w:ascii="宋体" w:hAnsi="宋体" w:cs="宋体"/>
          <w:kern w:val="0"/>
          <w:sz w:val="24"/>
          <w:u w:val="single"/>
        </w:rPr>
        <w:t>日14时00分</w:t>
      </w:r>
      <w:r>
        <w:rPr>
          <w:rFonts w:hint="eastAsia" w:ascii="宋体" w:hAnsi="宋体" w:cs="宋体"/>
          <w:kern w:val="0"/>
          <w:sz w:val="24"/>
          <w:u w:val="none"/>
        </w:rPr>
        <w:t>（北京时间）。</w:t>
      </w:r>
    </w:p>
    <w:p>
      <w:pPr>
        <w:widowControl/>
        <w:spacing w:line="360" w:lineRule="auto"/>
        <w:ind w:firstLine="422"/>
        <w:jc w:val="left"/>
        <w:outlineLvl w:val="1"/>
        <w:rPr>
          <w:rFonts w:ascii="宋体" w:hAnsi="宋体" w:cs="宋体"/>
          <w:kern w:val="0"/>
          <w:sz w:val="24"/>
        </w:rPr>
      </w:pPr>
      <w:r>
        <w:rPr>
          <w:rFonts w:ascii="宋体" w:hAnsi="宋体" w:cs="宋体"/>
          <w:kern w:val="0"/>
          <w:sz w:val="24"/>
        </w:rPr>
        <w:t>6.2</w:t>
      </w:r>
      <w:r>
        <w:rPr>
          <w:rFonts w:hint="eastAsia" w:ascii="宋体" w:hAnsi="宋体" w:cs="宋体"/>
          <w:kern w:val="0"/>
          <w:sz w:val="24"/>
        </w:rPr>
        <w:t>获取方式：</w:t>
      </w:r>
      <w:r>
        <w:rPr>
          <w:rFonts w:hint="eastAsia" w:ascii="宋体" w:hAnsi="宋体" w:cs="宋体"/>
          <w:kern w:val="0"/>
          <w:sz w:val="24"/>
          <w:u w:val="single"/>
          <w:lang w:val="en-US" w:eastAsia="zh-CN"/>
        </w:rPr>
        <w:t>“南通市中央创新区建设投资有限公司官网(http://www.ntscid.cn/)-公告栏”直接下载</w:t>
      </w:r>
      <w:r>
        <w:rPr>
          <w:rFonts w:hint="eastAsia" w:ascii="宋体" w:hAnsi="宋体" w:cs="宋体"/>
          <w:kern w:val="0"/>
          <w:sz w:val="24"/>
        </w:rPr>
        <w:t>。</w:t>
      </w:r>
    </w:p>
    <w:p>
      <w:pPr>
        <w:widowControl/>
        <w:spacing w:line="360" w:lineRule="auto"/>
        <w:jc w:val="left"/>
        <w:outlineLvl w:val="1"/>
        <w:rPr>
          <w:rFonts w:ascii="宋体" w:cs="宋体"/>
          <w:b/>
          <w:kern w:val="0"/>
          <w:sz w:val="24"/>
        </w:rPr>
      </w:pPr>
      <w:r>
        <w:rPr>
          <w:rFonts w:ascii="宋体" w:hAnsi="宋体" w:cs="宋体"/>
          <w:b/>
          <w:kern w:val="0"/>
          <w:sz w:val="24"/>
        </w:rPr>
        <w:t>7.</w:t>
      </w:r>
      <w:r>
        <w:rPr>
          <w:rFonts w:hint="eastAsia" w:ascii="宋体" w:hAnsi="宋体" w:cs="宋体"/>
          <w:b/>
          <w:kern w:val="0"/>
          <w:sz w:val="24"/>
        </w:rPr>
        <w:t>投标文件</w:t>
      </w:r>
      <w:r>
        <w:rPr>
          <w:rFonts w:hint="eastAsia" w:ascii="宋体" w:hAnsi="宋体" w:cs="宋体"/>
          <w:b/>
          <w:kern w:val="0"/>
          <w:sz w:val="24"/>
          <w:lang w:eastAsia="zh-CN"/>
        </w:rPr>
        <w:t>（</w:t>
      </w:r>
      <w:r>
        <w:rPr>
          <w:rFonts w:hint="eastAsia" w:ascii="宋体" w:hAnsi="宋体" w:cs="宋体"/>
          <w:b/>
          <w:kern w:val="0"/>
          <w:sz w:val="24"/>
          <w:lang w:val="en-US" w:eastAsia="zh-CN"/>
        </w:rPr>
        <w:t>不含样品</w:t>
      </w:r>
      <w:r>
        <w:rPr>
          <w:rFonts w:hint="eastAsia" w:ascii="宋体" w:hAnsi="宋体" w:cs="宋体"/>
          <w:b/>
          <w:kern w:val="0"/>
          <w:sz w:val="24"/>
          <w:lang w:eastAsia="zh-CN"/>
        </w:rPr>
        <w:t>）、</w:t>
      </w:r>
      <w:r>
        <w:rPr>
          <w:rFonts w:hint="eastAsia" w:ascii="宋体" w:hAnsi="宋体" w:cs="宋体"/>
          <w:b/>
          <w:kern w:val="0"/>
          <w:sz w:val="24"/>
          <w:lang w:val="en-US" w:eastAsia="zh-CN"/>
        </w:rPr>
        <w:t>样品</w:t>
      </w:r>
      <w:r>
        <w:rPr>
          <w:rFonts w:hint="eastAsia" w:ascii="宋体" w:hAnsi="宋体" w:cs="宋体"/>
          <w:b/>
          <w:kern w:val="0"/>
          <w:sz w:val="24"/>
        </w:rPr>
        <w:t>的递交</w:t>
      </w:r>
    </w:p>
    <w:p>
      <w:pPr>
        <w:widowControl/>
        <w:spacing w:line="360" w:lineRule="auto"/>
        <w:ind w:firstLine="422"/>
        <w:jc w:val="left"/>
        <w:outlineLvl w:val="1"/>
        <w:rPr>
          <w:rFonts w:ascii="宋体" w:hAnsi="宋体" w:cs="宋体"/>
          <w:b/>
          <w:bCs/>
          <w:kern w:val="0"/>
          <w:sz w:val="24"/>
        </w:rPr>
      </w:pPr>
      <w:r>
        <w:rPr>
          <w:rFonts w:hint="eastAsia" w:ascii="宋体" w:hAnsi="宋体" w:cs="宋体"/>
          <w:b/>
          <w:bCs/>
          <w:kern w:val="0"/>
          <w:sz w:val="24"/>
        </w:rPr>
        <w:t>7.1投标文件</w:t>
      </w:r>
      <w:r>
        <w:rPr>
          <w:rFonts w:hint="eastAsia" w:ascii="宋体" w:hAnsi="宋体" w:cs="宋体"/>
          <w:b/>
          <w:bCs/>
          <w:kern w:val="0"/>
          <w:sz w:val="24"/>
          <w:lang w:eastAsia="zh-CN"/>
        </w:rPr>
        <w:t>（</w:t>
      </w:r>
      <w:r>
        <w:rPr>
          <w:rFonts w:hint="eastAsia" w:ascii="宋体" w:hAnsi="宋体" w:cs="宋体"/>
          <w:b/>
          <w:bCs/>
          <w:kern w:val="0"/>
          <w:sz w:val="24"/>
          <w:lang w:val="en-US" w:eastAsia="zh-CN"/>
        </w:rPr>
        <w:t>不含样品</w:t>
      </w:r>
      <w:r>
        <w:rPr>
          <w:rFonts w:hint="eastAsia" w:ascii="宋体" w:hAnsi="宋体" w:cs="宋体"/>
          <w:b/>
          <w:bCs/>
          <w:kern w:val="0"/>
          <w:sz w:val="24"/>
          <w:lang w:eastAsia="zh-CN"/>
        </w:rPr>
        <w:t>）</w:t>
      </w:r>
      <w:r>
        <w:rPr>
          <w:rFonts w:hint="eastAsia" w:ascii="宋体" w:hAnsi="宋体" w:cs="宋体"/>
          <w:b/>
          <w:bCs/>
          <w:kern w:val="0"/>
          <w:sz w:val="24"/>
        </w:rPr>
        <w:t>递交的截止时间：</w:t>
      </w:r>
      <w:r>
        <w:rPr>
          <w:rFonts w:hint="eastAsia" w:ascii="宋体" w:hAnsi="宋体" w:cs="宋体"/>
          <w:b/>
          <w:bCs/>
          <w:kern w:val="0"/>
          <w:sz w:val="24"/>
          <w:u w:val="single"/>
        </w:rPr>
        <w:t>202</w:t>
      </w:r>
      <w:r>
        <w:rPr>
          <w:rFonts w:ascii="宋体" w:hAnsi="宋体" w:cs="宋体"/>
          <w:b/>
          <w:bCs/>
          <w:kern w:val="0"/>
          <w:sz w:val="24"/>
          <w:u w:val="single"/>
        </w:rPr>
        <w:t>4</w:t>
      </w:r>
      <w:r>
        <w:rPr>
          <w:rFonts w:hint="eastAsia" w:ascii="宋体" w:hAnsi="宋体" w:cs="宋体"/>
          <w:b/>
          <w:bCs/>
          <w:kern w:val="0"/>
          <w:sz w:val="24"/>
          <w:u w:val="single"/>
        </w:rPr>
        <w:t>年</w:t>
      </w:r>
      <w:r>
        <w:rPr>
          <w:rFonts w:hint="eastAsia" w:ascii="宋体" w:hAnsi="宋体" w:cs="宋体"/>
          <w:b/>
          <w:bCs/>
          <w:kern w:val="0"/>
          <w:sz w:val="24"/>
          <w:u w:val="single"/>
          <w:lang w:val="en-US" w:eastAsia="zh-CN"/>
        </w:rPr>
        <w:t>5</w:t>
      </w:r>
      <w:r>
        <w:rPr>
          <w:rFonts w:hint="eastAsia" w:ascii="宋体" w:hAnsi="宋体" w:cs="宋体"/>
          <w:b/>
          <w:bCs/>
          <w:kern w:val="0"/>
          <w:sz w:val="24"/>
          <w:u w:val="single"/>
        </w:rPr>
        <w:t>月</w:t>
      </w:r>
      <w:r>
        <w:rPr>
          <w:rFonts w:hint="eastAsia" w:ascii="宋体" w:hAnsi="宋体" w:cs="宋体"/>
          <w:b/>
          <w:bCs/>
          <w:kern w:val="0"/>
          <w:sz w:val="24"/>
          <w:u w:val="single"/>
          <w:lang w:val="en-US" w:eastAsia="zh-CN"/>
        </w:rPr>
        <w:t>8</w:t>
      </w:r>
      <w:r>
        <w:rPr>
          <w:rFonts w:hint="eastAsia" w:ascii="宋体" w:hAnsi="宋体" w:cs="宋体"/>
          <w:b/>
          <w:bCs/>
          <w:kern w:val="0"/>
          <w:sz w:val="24"/>
          <w:u w:val="single"/>
        </w:rPr>
        <w:t>日</w:t>
      </w:r>
      <w:r>
        <w:rPr>
          <w:rFonts w:hint="eastAsia" w:ascii="宋体" w:hAnsi="宋体" w:cs="宋体"/>
          <w:b/>
          <w:bCs/>
          <w:kern w:val="0"/>
          <w:sz w:val="24"/>
          <w:u w:val="single"/>
        </w:rPr>
        <w:t>14时00分（北京时间）</w:t>
      </w:r>
      <w:r>
        <w:rPr>
          <w:rFonts w:hint="eastAsia" w:ascii="宋体" w:hAnsi="宋体" w:cs="宋体"/>
          <w:b/>
          <w:bCs/>
          <w:kern w:val="0"/>
          <w:sz w:val="24"/>
        </w:rPr>
        <w:t>。</w:t>
      </w:r>
    </w:p>
    <w:p>
      <w:pPr>
        <w:widowControl/>
        <w:spacing w:line="360" w:lineRule="auto"/>
        <w:ind w:firstLine="422"/>
        <w:jc w:val="left"/>
        <w:outlineLvl w:val="1"/>
        <w:rPr>
          <w:rFonts w:hint="eastAsia" w:ascii="宋体" w:hAnsi="宋体" w:eastAsia="宋体" w:cs="宋体"/>
          <w:b/>
          <w:bCs/>
          <w:kern w:val="0"/>
          <w:sz w:val="24"/>
          <w:lang w:val="en-US" w:eastAsia="zh-CN"/>
        </w:rPr>
      </w:pPr>
      <w:r>
        <w:rPr>
          <w:rFonts w:hint="eastAsia" w:ascii="宋体" w:hAnsi="宋体" w:cs="宋体"/>
          <w:b/>
          <w:bCs/>
          <w:kern w:val="0"/>
          <w:sz w:val="24"/>
          <w:lang w:val="en-US" w:eastAsia="zh-CN"/>
        </w:rPr>
        <w:t>7.2样品递交截止时间</w:t>
      </w:r>
      <w:r>
        <w:rPr>
          <w:rFonts w:hint="eastAsia" w:ascii="宋体" w:hAnsi="宋体" w:cs="宋体"/>
          <w:b/>
          <w:bCs/>
          <w:kern w:val="0"/>
          <w:sz w:val="24"/>
          <w:u w:val="single"/>
        </w:rPr>
        <w:t>202</w:t>
      </w:r>
      <w:r>
        <w:rPr>
          <w:rFonts w:ascii="宋体" w:hAnsi="宋体" w:cs="宋体"/>
          <w:b/>
          <w:bCs/>
          <w:kern w:val="0"/>
          <w:sz w:val="24"/>
          <w:u w:val="single"/>
        </w:rPr>
        <w:t>4</w:t>
      </w:r>
      <w:r>
        <w:rPr>
          <w:rFonts w:hint="eastAsia" w:ascii="宋体" w:hAnsi="宋体" w:cs="宋体"/>
          <w:b/>
          <w:bCs/>
          <w:kern w:val="0"/>
          <w:sz w:val="24"/>
          <w:u w:val="single"/>
        </w:rPr>
        <w:t>年</w:t>
      </w:r>
      <w:r>
        <w:rPr>
          <w:rFonts w:hint="eastAsia" w:ascii="宋体" w:hAnsi="宋体" w:cs="宋体"/>
          <w:b/>
          <w:bCs/>
          <w:kern w:val="0"/>
          <w:sz w:val="24"/>
          <w:u w:val="single"/>
          <w:lang w:val="en-US" w:eastAsia="zh-CN"/>
        </w:rPr>
        <w:t>5</w:t>
      </w:r>
      <w:r>
        <w:rPr>
          <w:rFonts w:hint="eastAsia" w:ascii="宋体" w:hAnsi="宋体" w:cs="宋体"/>
          <w:b/>
          <w:bCs/>
          <w:kern w:val="0"/>
          <w:sz w:val="24"/>
          <w:u w:val="single"/>
        </w:rPr>
        <w:t>月</w:t>
      </w:r>
      <w:r>
        <w:rPr>
          <w:rFonts w:hint="eastAsia" w:ascii="宋体" w:hAnsi="宋体" w:cs="宋体"/>
          <w:b/>
          <w:bCs/>
          <w:kern w:val="0"/>
          <w:sz w:val="24"/>
          <w:u w:val="single"/>
          <w:lang w:val="en-US" w:eastAsia="zh-CN"/>
        </w:rPr>
        <w:t>7</w:t>
      </w:r>
      <w:r>
        <w:rPr>
          <w:rFonts w:hint="eastAsia" w:ascii="宋体" w:hAnsi="宋体" w:cs="宋体"/>
          <w:b/>
          <w:bCs/>
          <w:kern w:val="0"/>
          <w:sz w:val="24"/>
          <w:u w:val="single"/>
        </w:rPr>
        <w:t>日</w:t>
      </w:r>
      <w:r>
        <w:rPr>
          <w:rFonts w:hint="eastAsia" w:ascii="宋体" w:hAnsi="宋体" w:cs="宋体"/>
          <w:b/>
          <w:bCs/>
          <w:kern w:val="0"/>
          <w:sz w:val="24"/>
          <w:u w:val="single"/>
        </w:rPr>
        <w:t>1</w:t>
      </w:r>
      <w:r>
        <w:rPr>
          <w:rFonts w:hint="eastAsia" w:ascii="宋体" w:hAnsi="宋体" w:cs="宋体"/>
          <w:b/>
          <w:bCs/>
          <w:kern w:val="0"/>
          <w:sz w:val="24"/>
          <w:u w:val="single"/>
          <w:lang w:val="en-US" w:eastAsia="zh-CN"/>
        </w:rPr>
        <w:t>7</w:t>
      </w:r>
      <w:r>
        <w:rPr>
          <w:rFonts w:hint="eastAsia" w:ascii="宋体" w:hAnsi="宋体" w:cs="宋体"/>
          <w:b/>
          <w:bCs/>
          <w:kern w:val="0"/>
          <w:sz w:val="24"/>
          <w:u w:val="single"/>
        </w:rPr>
        <w:t>时00分（北京时间）</w:t>
      </w:r>
      <w:r>
        <w:rPr>
          <w:rFonts w:hint="eastAsia" w:ascii="宋体" w:hAnsi="宋体" w:cs="宋体"/>
          <w:b/>
          <w:bCs/>
          <w:kern w:val="0"/>
          <w:sz w:val="24"/>
          <w:u w:val="none"/>
          <w:lang w:eastAsia="zh-CN"/>
        </w:rPr>
        <w:t>。</w:t>
      </w:r>
    </w:p>
    <w:p>
      <w:pPr>
        <w:widowControl/>
        <w:spacing w:line="360" w:lineRule="auto"/>
        <w:ind w:firstLine="422"/>
        <w:jc w:val="left"/>
        <w:outlineLvl w:val="1"/>
        <w:rPr>
          <w:rFonts w:hint="eastAsia" w:ascii="宋体" w:hAnsi="宋体" w:eastAsia="宋体" w:cs="宋体"/>
          <w:b/>
          <w:bCs/>
          <w:kern w:val="0"/>
          <w:sz w:val="24"/>
          <w:lang w:val="en-US" w:eastAsia="zh-CN"/>
        </w:rPr>
      </w:pPr>
      <w:r>
        <w:rPr>
          <w:rFonts w:hint="eastAsia" w:ascii="宋体" w:hAnsi="宋体" w:cs="宋体"/>
          <w:b/>
          <w:bCs/>
          <w:kern w:val="0"/>
          <w:sz w:val="24"/>
        </w:rPr>
        <w:t>7.</w:t>
      </w:r>
      <w:r>
        <w:rPr>
          <w:rFonts w:hint="eastAsia" w:ascii="宋体" w:hAnsi="宋体" w:cs="宋体"/>
          <w:b/>
          <w:bCs/>
          <w:kern w:val="0"/>
          <w:sz w:val="24"/>
          <w:lang w:val="en-US" w:eastAsia="zh-CN"/>
        </w:rPr>
        <w:t>3</w:t>
      </w:r>
      <w:r>
        <w:rPr>
          <w:rFonts w:hint="eastAsia" w:ascii="宋体" w:hAnsi="宋体" w:cs="宋体"/>
          <w:b/>
          <w:bCs/>
          <w:kern w:val="0"/>
          <w:sz w:val="24"/>
        </w:rPr>
        <w:t>投标文件</w:t>
      </w:r>
      <w:r>
        <w:rPr>
          <w:rFonts w:hint="eastAsia" w:ascii="宋体" w:hAnsi="宋体" w:cs="宋体"/>
          <w:b/>
          <w:bCs/>
          <w:kern w:val="0"/>
          <w:sz w:val="24"/>
          <w:lang w:eastAsia="zh-CN"/>
        </w:rPr>
        <w:t>（</w:t>
      </w:r>
      <w:r>
        <w:rPr>
          <w:rFonts w:hint="eastAsia" w:ascii="宋体" w:hAnsi="宋体" w:cs="宋体"/>
          <w:b/>
          <w:bCs/>
          <w:kern w:val="0"/>
          <w:sz w:val="24"/>
          <w:lang w:val="en-US" w:eastAsia="zh-CN"/>
        </w:rPr>
        <w:t>不含样品</w:t>
      </w:r>
      <w:r>
        <w:rPr>
          <w:rFonts w:hint="eastAsia" w:ascii="宋体" w:hAnsi="宋体" w:cs="宋体"/>
          <w:b/>
          <w:bCs/>
          <w:kern w:val="0"/>
          <w:sz w:val="24"/>
          <w:lang w:eastAsia="zh-CN"/>
        </w:rPr>
        <w:t>）</w:t>
      </w:r>
      <w:r>
        <w:rPr>
          <w:rFonts w:hint="eastAsia" w:ascii="宋体" w:hAnsi="宋体" w:cs="宋体"/>
          <w:b/>
          <w:bCs/>
          <w:kern w:val="0"/>
          <w:sz w:val="24"/>
          <w:lang w:val="en-US" w:eastAsia="zh-CN"/>
        </w:rPr>
        <w:t>递交地点：</w:t>
      </w:r>
      <w:r>
        <w:rPr>
          <w:rFonts w:ascii="宋体" w:hAnsi="宋体" w:cs="宋体"/>
          <w:b/>
          <w:bCs/>
          <w:kern w:val="0"/>
          <w:sz w:val="24"/>
          <w:u w:val="single"/>
        </w:rPr>
        <w:t>南通市崇川区江海大道555号鸿鸣摩尔1幢13层</w:t>
      </w:r>
      <w:r>
        <w:rPr>
          <w:rFonts w:hint="eastAsia" w:ascii="宋体" w:hAnsi="宋体" w:cs="宋体"/>
          <w:b/>
          <w:bCs/>
          <w:kern w:val="0"/>
          <w:sz w:val="24"/>
          <w:u w:val="single"/>
        </w:rPr>
        <w:t>会议室，如有变动另行通知</w:t>
      </w:r>
      <w:r>
        <w:rPr>
          <w:rFonts w:hint="eastAsia" w:ascii="宋体" w:hAnsi="宋体" w:cs="宋体"/>
          <w:b/>
          <w:bCs/>
          <w:kern w:val="0"/>
          <w:sz w:val="24"/>
          <w:u w:val="none"/>
        </w:rPr>
        <w:t>。</w:t>
      </w:r>
    </w:p>
    <w:p>
      <w:pPr>
        <w:widowControl/>
        <w:spacing w:line="360" w:lineRule="auto"/>
        <w:ind w:firstLine="422"/>
        <w:jc w:val="left"/>
        <w:outlineLvl w:val="1"/>
        <w:rPr>
          <w:rFonts w:hint="eastAsia" w:ascii="宋体" w:hAnsi="宋体" w:eastAsia="宋体" w:cs="宋体"/>
          <w:b/>
          <w:bCs/>
          <w:kern w:val="0"/>
          <w:sz w:val="24"/>
          <w:lang w:val="en-US" w:eastAsia="zh-CN"/>
        </w:rPr>
      </w:pPr>
      <w:r>
        <w:rPr>
          <w:rFonts w:hint="eastAsia" w:ascii="宋体" w:hAnsi="宋体" w:cs="宋体"/>
          <w:b/>
          <w:bCs/>
          <w:kern w:val="0"/>
          <w:sz w:val="24"/>
          <w:lang w:val="en-US" w:eastAsia="zh-CN"/>
        </w:rPr>
        <w:t>7.4样品</w:t>
      </w:r>
      <w:r>
        <w:rPr>
          <w:rFonts w:hint="eastAsia" w:ascii="宋体" w:hAnsi="宋体" w:cs="宋体"/>
          <w:b/>
          <w:bCs/>
          <w:kern w:val="0"/>
          <w:sz w:val="24"/>
        </w:rPr>
        <w:t>递交地点：</w:t>
      </w:r>
      <w:r>
        <w:rPr>
          <w:rFonts w:ascii="宋体" w:hAnsi="宋体" w:cs="宋体"/>
          <w:b/>
          <w:bCs/>
          <w:kern w:val="0"/>
          <w:sz w:val="24"/>
          <w:u w:val="single"/>
        </w:rPr>
        <w:t>南通市崇川区江海大道555号鸿鸣摩尔1幢13层</w:t>
      </w:r>
      <w:r>
        <w:rPr>
          <w:rFonts w:hint="eastAsia" w:ascii="宋体" w:hAnsi="宋体" w:cs="宋体"/>
          <w:b/>
          <w:bCs/>
          <w:kern w:val="0"/>
          <w:sz w:val="24"/>
          <w:u w:val="single"/>
          <w:lang w:val="en-US" w:eastAsia="zh-CN"/>
        </w:rPr>
        <w:t>指定位置</w:t>
      </w:r>
      <w:r>
        <w:rPr>
          <w:rFonts w:hint="eastAsia" w:ascii="宋体" w:hAnsi="宋体" w:cs="宋体"/>
          <w:b/>
          <w:bCs/>
          <w:kern w:val="0"/>
          <w:sz w:val="24"/>
          <w:u w:val="single"/>
        </w:rPr>
        <w:t>，如有变动另行通知。</w:t>
      </w:r>
    </w:p>
    <w:p>
      <w:pPr>
        <w:widowControl/>
        <w:spacing w:line="360" w:lineRule="auto"/>
        <w:ind w:firstLine="422"/>
        <w:jc w:val="left"/>
        <w:outlineLvl w:val="1"/>
        <w:rPr>
          <w:rFonts w:ascii="宋体" w:hAnsi="宋体" w:cs="宋体"/>
          <w:b/>
          <w:bCs/>
          <w:kern w:val="0"/>
          <w:sz w:val="24"/>
        </w:rPr>
      </w:pPr>
      <w:r>
        <w:rPr>
          <w:rFonts w:hint="eastAsia" w:ascii="宋体" w:hAnsi="宋体" w:cs="宋体"/>
          <w:b/>
          <w:bCs/>
          <w:kern w:val="0"/>
          <w:sz w:val="24"/>
        </w:rPr>
        <w:t>7.</w:t>
      </w:r>
      <w:r>
        <w:rPr>
          <w:rFonts w:hint="eastAsia" w:ascii="宋体" w:hAnsi="宋体" w:cs="宋体"/>
          <w:b/>
          <w:bCs/>
          <w:kern w:val="0"/>
          <w:sz w:val="24"/>
          <w:lang w:val="en-US" w:eastAsia="zh-CN"/>
        </w:rPr>
        <w:t>5</w:t>
      </w:r>
      <w:r>
        <w:rPr>
          <w:rFonts w:hint="eastAsia" w:ascii="宋体" w:hAnsi="宋体" w:cs="宋体"/>
          <w:b/>
          <w:bCs/>
          <w:kern w:val="0"/>
          <w:sz w:val="24"/>
        </w:rPr>
        <w:t>逾期送达或者未送达至指定地点的投标文件</w:t>
      </w:r>
      <w:r>
        <w:rPr>
          <w:rFonts w:hint="eastAsia" w:ascii="宋体" w:hAnsi="宋体" w:cs="宋体"/>
          <w:b/>
          <w:bCs/>
          <w:kern w:val="0"/>
          <w:sz w:val="24"/>
          <w:lang w:eastAsia="zh-CN"/>
        </w:rPr>
        <w:t>（</w:t>
      </w:r>
      <w:r>
        <w:rPr>
          <w:rFonts w:hint="eastAsia" w:ascii="宋体" w:hAnsi="宋体" w:cs="宋体"/>
          <w:b/>
          <w:bCs/>
          <w:kern w:val="0"/>
          <w:sz w:val="24"/>
          <w:lang w:val="en-US" w:eastAsia="zh-CN"/>
        </w:rPr>
        <w:t>不含样品</w:t>
      </w:r>
      <w:r>
        <w:rPr>
          <w:rFonts w:hint="eastAsia" w:ascii="宋体" w:hAnsi="宋体" w:cs="宋体"/>
          <w:b/>
          <w:bCs/>
          <w:kern w:val="0"/>
          <w:sz w:val="24"/>
          <w:lang w:eastAsia="zh-CN"/>
        </w:rPr>
        <w:t>）、</w:t>
      </w:r>
      <w:r>
        <w:rPr>
          <w:rFonts w:hint="eastAsia" w:ascii="宋体" w:hAnsi="宋体" w:cs="宋体"/>
          <w:b/>
          <w:bCs/>
          <w:kern w:val="0"/>
          <w:sz w:val="24"/>
          <w:lang w:val="en-US" w:eastAsia="zh-CN"/>
        </w:rPr>
        <w:t>样品</w:t>
      </w:r>
      <w:r>
        <w:rPr>
          <w:rFonts w:hint="eastAsia" w:ascii="宋体" w:hAnsi="宋体" w:cs="宋体"/>
          <w:b/>
          <w:bCs/>
          <w:kern w:val="0"/>
          <w:sz w:val="24"/>
        </w:rPr>
        <w:t>，不予受理。</w:t>
      </w:r>
    </w:p>
    <w:p>
      <w:pPr>
        <w:widowControl/>
        <w:spacing w:line="360" w:lineRule="auto"/>
        <w:jc w:val="left"/>
        <w:outlineLvl w:val="1"/>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8.开标时间、地点</w:t>
      </w:r>
    </w:p>
    <w:p>
      <w:pPr>
        <w:widowControl/>
        <w:spacing w:line="360" w:lineRule="auto"/>
        <w:ind w:firstLine="422"/>
        <w:jc w:val="left"/>
        <w:outlineLvl w:val="1"/>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8.1开标时间：</w:t>
      </w:r>
      <w:r>
        <w:rPr>
          <w:rFonts w:hint="eastAsia" w:ascii="宋体" w:hAnsi="宋体" w:cs="宋体"/>
          <w:b/>
          <w:bCs/>
          <w:kern w:val="0"/>
          <w:sz w:val="24"/>
          <w:u w:val="single"/>
        </w:rPr>
        <w:t>202</w:t>
      </w:r>
      <w:r>
        <w:rPr>
          <w:rFonts w:ascii="宋体" w:hAnsi="宋体" w:cs="宋体"/>
          <w:b/>
          <w:bCs/>
          <w:kern w:val="0"/>
          <w:sz w:val="24"/>
          <w:u w:val="single"/>
        </w:rPr>
        <w:t>4</w:t>
      </w:r>
      <w:r>
        <w:rPr>
          <w:rFonts w:hint="eastAsia" w:ascii="宋体" w:hAnsi="宋体" w:cs="宋体"/>
          <w:b/>
          <w:bCs/>
          <w:kern w:val="0"/>
          <w:sz w:val="24"/>
          <w:u w:val="single"/>
        </w:rPr>
        <w:t>年</w:t>
      </w:r>
      <w:r>
        <w:rPr>
          <w:rFonts w:hint="eastAsia" w:ascii="宋体" w:hAnsi="宋体" w:cs="宋体"/>
          <w:b/>
          <w:bCs/>
          <w:kern w:val="0"/>
          <w:sz w:val="24"/>
          <w:u w:val="single"/>
          <w:lang w:val="en-US" w:eastAsia="zh-CN"/>
        </w:rPr>
        <w:t>5</w:t>
      </w:r>
      <w:r>
        <w:rPr>
          <w:rFonts w:hint="eastAsia" w:ascii="宋体" w:hAnsi="宋体" w:cs="宋体"/>
          <w:b/>
          <w:bCs/>
          <w:kern w:val="0"/>
          <w:sz w:val="24"/>
          <w:u w:val="single"/>
        </w:rPr>
        <w:t>月</w:t>
      </w:r>
      <w:r>
        <w:rPr>
          <w:rFonts w:hint="eastAsia" w:ascii="宋体" w:hAnsi="宋体" w:cs="宋体"/>
          <w:b/>
          <w:bCs/>
          <w:kern w:val="0"/>
          <w:sz w:val="24"/>
          <w:u w:val="single"/>
          <w:lang w:val="en-US" w:eastAsia="zh-CN"/>
        </w:rPr>
        <w:t>8</w:t>
      </w:r>
      <w:r>
        <w:rPr>
          <w:rFonts w:hint="eastAsia" w:ascii="宋体" w:hAnsi="宋体" w:cs="宋体"/>
          <w:b/>
          <w:bCs/>
          <w:kern w:val="0"/>
          <w:sz w:val="24"/>
          <w:u w:val="single"/>
        </w:rPr>
        <w:t>日</w:t>
      </w:r>
      <w:r>
        <w:rPr>
          <w:rFonts w:hint="eastAsia" w:ascii="宋体" w:hAnsi="宋体" w:cs="宋体"/>
          <w:b/>
          <w:bCs/>
          <w:kern w:val="0"/>
          <w:sz w:val="24"/>
          <w:u w:val="single"/>
        </w:rPr>
        <w:t>14时00分（北京时间）</w:t>
      </w:r>
    </w:p>
    <w:p>
      <w:pPr>
        <w:widowControl/>
        <w:spacing w:line="360" w:lineRule="auto"/>
        <w:ind w:firstLine="422"/>
        <w:jc w:val="left"/>
        <w:outlineLvl w:val="1"/>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8.2开标地点：</w:t>
      </w:r>
      <w:r>
        <w:rPr>
          <w:rFonts w:ascii="宋体" w:hAnsi="宋体" w:cs="宋体"/>
          <w:b/>
          <w:bCs/>
          <w:kern w:val="0"/>
          <w:sz w:val="24"/>
          <w:u w:val="single"/>
        </w:rPr>
        <w:t>南通市崇川区江海大道555号鸿鸣摩尔1幢13层</w:t>
      </w:r>
      <w:r>
        <w:rPr>
          <w:rFonts w:hint="eastAsia" w:ascii="宋体" w:hAnsi="宋体" w:cs="宋体"/>
          <w:b/>
          <w:bCs/>
          <w:kern w:val="0"/>
          <w:sz w:val="24"/>
          <w:u w:val="single"/>
        </w:rPr>
        <w:t>会议室，如有变动另行通知</w:t>
      </w:r>
      <w:r>
        <w:rPr>
          <w:rFonts w:hint="eastAsia" w:ascii="宋体" w:hAnsi="宋体" w:cs="宋体"/>
          <w:b/>
          <w:bCs/>
          <w:kern w:val="0"/>
          <w:sz w:val="24"/>
          <w:u w:val="none"/>
        </w:rPr>
        <w:t>。</w:t>
      </w:r>
    </w:p>
    <w:p>
      <w:pPr>
        <w:widowControl/>
        <w:spacing w:line="360" w:lineRule="auto"/>
        <w:jc w:val="left"/>
        <w:outlineLvl w:val="1"/>
        <w:rPr>
          <w:rFonts w:ascii="宋体" w:cs="宋体"/>
          <w:b/>
          <w:bCs/>
          <w:kern w:val="0"/>
          <w:sz w:val="24"/>
        </w:rPr>
      </w:pPr>
      <w:r>
        <w:rPr>
          <w:rFonts w:hint="eastAsia" w:ascii="宋体" w:hAnsi="宋体" w:cs="宋体"/>
          <w:b/>
          <w:bCs/>
          <w:kern w:val="0"/>
          <w:sz w:val="24"/>
          <w:lang w:val="en-US" w:eastAsia="zh-CN"/>
        </w:rPr>
        <w:t>9</w:t>
      </w:r>
      <w:r>
        <w:rPr>
          <w:rFonts w:ascii="宋体" w:hAnsi="宋体" w:cs="宋体"/>
          <w:b/>
          <w:bCs/>
          <w:kern w:val="0"/>
          <w:sz w:val="24"/>
        </w:rPr>
        <w:t>.</w:t>
      </w:r>
      <w:r>
        <w:rPr>
          <w:rFonts w:hint="eastAsia" w:ascii="宋体" w:hAnsi="宋体" w:cs="宋体"/>
          <w:b/>
          <w:bCs/>
          <w:kern w:val="0"/>
          <w:sz w:val="24"/>
        </w:rPr>
        <w:t>发布信息媒价</w:t>
      </w:r>
    </w:p>
    <w:p>
      <w:pPr>
        <w:widowControl/>
        <w:spacing w:line="360" w:lineRule="auto"/>
        <w:ind w:firstLine="422"/>
        <w:jc w:val="left"/>
        <w:outlineLvl w:val="1"/>
        <w:rPr>
          <w:rFonts w:ascii="宋体" w:hAnsi="宋体" w:cs="宋体"/>
          <w:kern w:val="0"/>
          <w:sz w:val="24"/>
        </w:rPr>
      </w:pPr>
      <w:r>
        <w:rPr>
          <w:rFonts w:hint="eastAsia" w:ascii="宋体" w:hAnsi="宋体" w:cs="宋体"/>
          <w:kern w:val="0"/>
          <w:sz w:val="24"/>
        </w:rPr>
        <w:t>本次招标公告在</w:t>
      </w:r>
      <w:r>
        <w:rPr>
          <w:rFonts w:hint="eastAsia" w:ascii="宋体" w:hAnsi="宋体" w:cs="宋体"/>
          <w:kern w:val="0"/>
          <w:sz w:val="24"/>
          <w:u w:val="none"/>
          <w:lang w:val="en-US" w:eastAsia="zh-CN"/>
        </w:rPr>
        <w:t>南通市中央创新区建设投资有限公司官网</w:t>
      </w:r>
      <w:r>
        <w:rPr>
          <w:rFonts w:hint="eastAsia" w:ascii="宋体" w:hAnsi="宋体" w:cs="宋体"/>
          <w:kern w:val="0"/>
          <w:sz w:val="24"/>
        </w:rPr>
        <w:t>发布。</w:t>
      </w:r>
    </w:p>
    <w:p>
      <w:pPr>
        <w:widowControl/>
        <w:spacing w:line="360" w:lineRule="auto"/>
        <w:ind w:firstLine="422"/>
        <w:jc w:val="left"/>
        <w:outlineLvl w:val="1"/>
        <w:rPr>
          <w:rFonts w:ascii="宋体" w:cs="宋体"/>
          <w:kern w:val="0"/>
          <w:sz w:val="24"/>
        </w:rPr>
      </w:pPr>
      <w:r>
        <w:rPr>
          <w:rFonts w:hint="eastAsia" w:ascii="宋体" w:hAnsi="宋体" w:cs="宋体"/>
          <w:kern w:val="0"/>
          <w:sz w:val="24"/>
        </w:rPr>
        <w:t>所有信息资料在网站上一经公布，视为投标人已知悉并且按要求进行了修改，招标人无需采取其他方式另行通知。当招标文件、招标文件的澄清、修改、补充等在同一内容的表述上不一致时，以最后网上发出的文件为准。否则，由此引起的损失及责任由投标人自行承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宋体" w:hAnsi="宋体" w:cs="宋体"/>
          <w:b/>
          <w:bCs/>
          <w:kern w:val="0"/>
          <w:sz w:val="24"/>
        </w:rPr>
      </w:pPr>
      <w:r>
        <w:rPr>
          <w:rFonts w:hint="eastAsia" w:ascii="宋体" w:hAnsi="宋体" w:cs="宋体"/>
          <w:b/>
          <w:bCs/>
          <w:kern w:val="0"/>
          <w:sz w:val="24"/>
          <w:lang w:val="en-US" w:eastAsia="zh-CN"/>
        </w:rPr>
        <w:t>10</w:t>
      </w:r>
      <w:r>
        <w:rPr>
          <w:rFonts w:ascii="宋体" w:hAnsi="宋体" w:cs="宋体"/>
          <w:b/>
          <w:bCs/>
          <w:kern w:val="0"/>
          <w:sz w:val="24"/>
        </w:rPr>
        <w:t>.</w:t>
      </w:r>
      <w:r>
        <w:rPr>
          <w:rFonts w:hint="eastAsia" w:ascii="宋体" w:hAnsi="宋体" w:cs="宋体"/>
          <w:b/>
          <w:bCs/>
          <w:kern w:val="0"/>
          <w:sz w:val="24"/>
        </w:rPr>
        <w:t>公告的修改或中（终）止</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ascii="宋体" w:hAnsi="宋体" w:cs="宋体"/>
          <w:kern w:val="0"/>
          <w:sz w:val="24"/>
        </w:rPr>
      </w:pPr>
      <w:r>
        <w:rPr>
          <w:rFonts w:hint="eastAsia" w:ascii="宋体" w:hAnsi="宋体" w:cs="宋体"/>
          <w:kern w:val="0"/>
          <w:sz w:val="24"/>
        </w:rPr>
        <w:t>本次招标公告如有修改或中（终）止，将以“补充公告”形式在“</w:t>
      </w:r>
      <w:r>
        <w:rPr>
          <w:rFonts w:hint="eastAsia" w:ascii="宋体" w:hAnsi="宋体" w:cs="宋体"/>
          <w:kern w:val="0"/>
          <w:sz w:val="24"/>
          <w:u w:val="none"/>
          <w:lang w:val="en-US" w:eastAsia="zh-CN"/>
        </w:rPr>
        <w:t>南通市中央创新区建设投资有限公司官网</w:t>
      </w:r>
      <w:r>
        <w:rPr>
          <w:rFonts w:hint="eastAsia" w:ascii="宋体" w:hAnsi="宋体" w:cs="宋体"/>
          <w:kern w:val="0"/>
          <w:sz w:val="24"/>
        </w:rPr>
        <w:t>”发布，投标人应在开标前随时上网查阅，否则，其引起的相关后果由投标人自行负责。</w:t>
      </w:r>
    </w:p>
    <w:p>
      <w:pPr>
        <w:widowControl/>
        <w:spacing w:line="360" w:lineRule="auto"/>
        <w:jc w:val="left"/>
        <w:outlineLvl w:val="1"/>
        <w:rPr>
          <w:rFonts w:ascii="宋体" w:cs="宋体"/>
          <w:b/>
          <w:bCs/>
          <w:kern w:val="0"/>
          <w:sz w:val="24"/>
        </w:rPr>
      </w:pPr>
      <w:r>
        <w:rPr>
          <w:rFonts w:ascii="宋体" w:hAnsi="宋体" w:cs="宋体"/>
          <w:b/>
          <w:bCs/>
          <w:kern w:val="0"/>
          <w:sz w:val="24"/>
        </w:rPr>
        <w:t>1</w:t>
      </w:r>
      <w:r>
        <w:rPr>
          <w:rFonts w:hint="eastAsia" w:ascii="宋体" w:hAnsi="宋体" w:cs="宋体"/>
          <w:b/>
          <w:bCs/>
          <w:kern w:val="0"/>
          <w:sz w:val="24"/>
          <w:lang w:val="en-US" w:eastAsia="zh-CN"/>
        </w:rPr>
        <w:t>1</w:t>
      </w:r>
      <w:r>
        <w:rPr>
          <w:rFonts w:ascii="宋体" w:hAnsi="宋体" w:cs="宋体"/>
          <w:b/>
          <w:bCs/>
          <w:kern w:val="0"/>
          <w:sz w:val="24"/>
        </w:rPr>
        <w:t>.</w:t>
      </w:r>
      <w:r>
        <w:rPr>
          <w:rFonts w:hint="eastAsia" w:ascii="宋体" w:hAnsi="宋体" w:cs="宋体"/>
          <w:b/>
          <w:bCs/>
          <w:kern w:val="0"/>
          <w:sz w:val="24"/>
        </w:rPr>
        <w:t>联系方式</w:t>
      </w:r>
    </w:p>
    <w:tbl>
      <w:tblPr>
        <w:tblStyle w:val="50"/>
        <w:tblW w:w="9781" w:type="dxa"/>
        <w:tblCellSpacing w:w="15" w:type="dxa"/>
        <w:tblInd w:w="-5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119"/>
        <w:gridCol w:w="1701"/>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blCellSpacing w:w="15" w:type="dxa"/>
        </w:trPr>
        <w:tc>
          <w:tcPr>
            <w:tcW w:w="1089" w:type="dxa"/>
            <w:tcMar>
              <w:top w:w="15" w:type="dxa"/>
              <w:left w:w="15" w:type="dxa"/>
              <w:bottom w:w="15" w:type="dxa"/>
              <w:right w:w="15" w:type="dxa"/>
            </w:tcMar>
            <w:vAlign w:val="center"/>
          </w:tcPr>
          <w:p>
            <w:pPr>
              <w:widowControl/>
              <w:spacing w:line="360" w:lineRule="auto"/>
              <w:ind w:right="21"/>
              <w:jc w:val="left"/>
              <w:rPr>
                <w:rFonts w:ascii="宋体" w:cs="宋体"/>
                <w:kern w:val="0"/>
                <w:sz w:val="24"/>
              </w:rPr>
            </w:pPr>
            <w:r>
              <w:rPr>
                <w:rFonts w:hint="eastAsia" w:ascii="宋体" w:hAnsi="宋体" w:cs="宋体"/>
                <w:kern w:val="0"/>
                <w:sz w:val="24"/>
              </w:rPr>
              <w:t>招标人：</w:t>
            </w:r>
          </w:p>
        </w:tc>
        <w:tc>
          <w:tcPr>
            <w:tcW w:w="3089" w:type="dxa"/>
            <w:tcMar>
              <w:top w:w="15" w:type="dxa"/>
              <w:left w:w="15" w:type="dxa"/>
              <w:bottom w:w="15" w:type="dxa"/>
              <w:right w:w="15" w:type="dxa"/>
            </w:tcMar>
            <w:vAlign w:val="center"/>
          </w:tcPr>
          <w:p>
            <w:pPr>
              <w:widowControl/>
              <w:spacing w:line="360" w:lineRule="auto"/>
              <w:ind w:right="21"/>
              <w:jc w:val="left"/>
              <w:rPr>
                <w:rFonts w:hint="eastAsia" w:ascii="宋体" w:eastAsia="宋体" w:cs="宋体"/>
                <w:kern w:val="0"/>
                <w:sz w:val="24"/>
                <w:lang w:eastAsia="zh-CN"/>
              </w:rPr>
            </w:pPr>
            <w:r>
              <w:rPr>
                <w:rFonts w:hint="eastAsia" w:ascii="宋体" w:hAnsi="宋体" w:cs="宋体"/>
                <w:kern w:val="0"/>
                <w:sz w:val="24"/>
                <w:lang w:eastAsia="zh-CN"/>
              </w:rPr>
              <w:t>南通创新区管理办公室</w:t>
            </w:r>
          </w:p>
        </w:tc>
        <w:tc>
          <w:tcPr>
            <w:tcW w:w="1671" w:type="dxa"/>
            <w:tcMar>
              <w:top w:w="15" w:type="dxa"/>
              <w:left w:w="15" w:type="dxa"/>
              <w:bottom w:w="15" w:type="dxa"/>
              <w:right w:w="15" w:type="dxa"/>
            </w:tcMar>
            <w:vAlign w:val="center"/>
          </w:tcPr>
          <w:p>
            <w:pPr>
              <w:widowControl/>
              <w:spacing w:line="360" w:lineRule="auto"/>
              <w:ind w:right="21"/>
              <w:jc w:val="left"/>
              <w:rPr>
                <w:rFonts w:ascii="宋体" w:cs="宋体"/>
                <w:kern w:val="0"/>
                <w:sz w:val="24"/>
              </w:rPr>
            </w:pPr>
            <w:r>
              <w:rPr>
                <w:rFonts w:hint="eastAsia" w:ascii="宋体" w:hAnsi="宋体" w:cs="宋体"/>
                <w:kern w:val="0"/>
                <w:sz w:val="24"/>
              </w:rPr>
              <w:t>招标代理机构</w:t>
            </w:r>
            <w:r>
              <w:rPr>
                <w:rFonts w:ascii="宋体" w:hAnsi="宋体" w:cs="宋体"/>
                <w:kern w:val="0"/>
                <w:sz w:val="24"/>
              </w:rPr>
              <w:t xml:space="preserve">: </w:t>
            </w:r>
          </w:p>
        </w:tc>
        <w:tc>
          <w:tcPr>
            <w:tcW w:w="3782" w:type="dxa"/>
            <w:tcMar>
              <w:top w:w="15" w:type="dxa"/>
              <w:left w:w="15" w:type="dxa"/>
              <w:bottom w:w="15" w:type="dxa"/>
              <w:right w:w="15" w:type="dxa"/>
            </w:tcMar>
            <w:vAlign w:val="center"/>
          </w:tcPr>
          <w:p>
            <w:pPr>
              <w:widowControl/>
              <w:spacing w:line="360" w:lineRule="auto"/>
              <w:ind w:right="21"/>
              <w:jc w:val="left"/>
              <w:rPr>
                <w:rFonts w:ascii="宋体" w:cs="宋体"/>
                <w:kern w:val="0"/>
                <w:sz w:val="24"/>
              </w:rPr>
            </w:pPr>
            <w:r>
              <w:rPr>
                <w:rFonts w:hint="eastAsia" w:ascii="宋体" w:hAnsi="宋体" w:cs="宋体"/>
                <w:kern w:val="0"/>
                <w:sz w:val="24"/>
              </w:rPr>
              <w:t>江苏新世纪工程项目管理有限公司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blCellSpacing w:w="15" w:type="dxa"/>
        </w:trPr>
        <w:tc>
          <w:tcPr>
            <w:tcW w:w="1089" w:type="dxa"/>
            <w:tcMar>
              <w:top w:w="15" w:type="dxa"/>
              <w:left w:w="15" w:type="dxa"/>
              <w:bottom w:w="15" w:type="dxa"/>
              <w:right w:w="15" w:type="dxa"/>
            </w:tcMar>
            <w:vAlign w:val="center"/>
          </w:tcPr>
          <w:p>
            <w:pPr>
              <w:widowControl/>
              <w:snapToGrid w:val="0"/>
              <w:ind w:right="21"/>
              <w:jc w:val="left"/>
              <w:rPr>
                <w:rFonts w:ascii="宋体" w:cs="宋体"/>
                <w:kern w:val="0"/>
                <w:sz w:val="24"/>
              </w:rPr>
            </w:pPr>
            <w:r>
              <w:rPr>
                <w:rFonts w:hint="eastAsia" w:ascii="宋体" w:hAnsi="宋体" w:cs="宋体"/>
                <w:kern w:val="0"/>
                <w:sz w:val="24"/>
              </w:rPr>
              <w:t>地址：</w:t>
            </w:r>
          </w:p>
        </w:tc>
        <w:tc>
          <w:tcPr>
            <w:tcW w:w="3089" w:type="dxa"/>
            <w:tcMar>
              <w:top w:w="15" w:type="dxa"/>
              <w:left w:w="15" w:type="dxa"/>
              <w:bottom w:w="15" w:type="dxa"/>
              <w:right w:w="15" w:type="dxa"/>
            </w:tcMar>
            <w:vAlign w:val="center"/>
          </w:tcPr>
          <w:p>
            <w:pPr>
              <w:snapToGrid w:val="0"/>
              <w:rPr>
                <w:rFonts w:ascii="宋体" w:cs="宋体"/>
                <w:kern w:val="0"/>
                <w:sz w:val="24"/>
              </w:rPr>
            </w:pPr>
            <w:r>
              <w:rPr>
                <w:rFonts w:ascii="宋体" w:hAnsi="宋体" w:cs="宋体"/>
                <w:kern w:val="0"/>
                <w:sz w:val="24"/>
              </w:rPr>
              <w:t>南通崇州大道60号紫琅科技城6号楼</w:t>
            </w:r>
          </w:p>
        </w:tc>
        <w:tc>
          <w:tcPr>
            <w:tcW w:w="1671" w:type="dxa"/>
            <w:tcMar>
              <w:top w:w="15" w:type="dxa"/>
              <w:left w:w="15" w:type="dxa"/>
              <w:bottom w:w="15" w:type="dxa"/>
              <w:right w:w="15" w:type="dxa"/>
            </w:tcMar>
            <w:vAlign w:val="center"/>
          </w:tcPr>
          <w:p>
            <w:pPr>
              <w:widowControl/>
              <w:snapToGrid w:val="0"/>
              <w:ind w:right="21"/>
              <w:jc w:val="left"/>
              <w:rPr>
                <w:rFonts w:ascii="宋体" w:cs="宋体"/>
                <w:kern w:val="0"/>
                <w:sz w:val="24"/>
              </w:rPr>
            </w:pPr>
            <w:r>
              <w:rPr>
                <w:rFonts w:hint="eastAsia" w:ascii="宋体" w:hAnsi="宋体" w:cs="宋体"/>
                <w:kern w:val="0"/>
                <w:sz w:val="24"/>
              </w:rPr>
              <w:t>地址：</w:t>
            </w:r>
          </w:p>
        </w:tc>
        <w:tc>
          <w:tcPr>
            <w:tcW w:w="3782" w:type="dxa"/>
            <w:tcMar>
              <w:top w:w="15" w:type="dxa"/>
              <w:left w:w="15" w:type="dxa"/>
              <w:bottom w:w="15" w:type="dxa"/>
              <w:right w:w="15" w:type="dxa"/>
            </w:tcMar>
          </w:tcPr>
          <w:p>
            <w:pPr>
              <w:snapToGrid w:val="0"/>
              <w:rPr>
                <w:rFonts w:ascii="宋体" w:hAnsi="宋体" w:cs="宋体"/>
                <w:kern w:val="0"/>
                <w:sz w:val="24"/>
              </w:rPr>
            </w:pPr>
            <w:r>
              <w:rPr>
                <w:rFonts w:hint="eastAsia" w:ascii="宋体" w:hAnsi="宋体" w:cs="宋体"/>
                <w:kern w:val="0"/>
                <w:sz w:val="24"/>
              </w:rPr>
              <w:t>南通市崇川区江海大道555号鸿鸣摩尔1幢13层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5" w:type="dxa"/>
        </w:trPr>
        <w:tc>
          <w:tcPr>
            <w:tcW w:w="1089" w:type="dxa"/>
            <w:tcMar>
              <w:top w:w="15" w:type="dxa"/>
              <w:left w:w="15" w:type="dxa"/>
              <w:bottom w:w="15" w:type="dxa"/>
              <w:right w:w="15" w:type="dxa"/>
            </w:tcMar>
            <w:vAlign w:val="center"/>
          </w:tcPr>
          <w:p>
            <w:pPr>
              <w:widowControl/>
              <w:spacing w:line="360" w:lineRule="auto"/>
              <w:ind w:right="21"/>
              <w:jc w:val="left"/>
              <w:rPr>
                <w:rFonts w:ascii="宋体" w:cs="宋体"/>
                <w:kern w:val="0"/>
                <w:sz w:val="24"/>
              </w:rPr>
            </w:pPr>
            <w:r>
              <w:rPr>
                <w:rFonts w:hint="eastAsia" w:ascii="宋体" w:hAnsi="宋体" w:cs="宋体"/>
                <w:kern w:val="0"/>
                <w:sz w:val="24"/>
              </w:rPr>
              <w:t>联系人：</w:t>
            </w:r>
          </w:p>
        </w:tc>
        <w:tc>
          <w:tcPr>
            <w:tcW w:w="3089" w:type="dxa"/>
            <w:tcMar>
              <w:top w:w="15" w:type="dxa"/>
              <w:left w:w="15" w:type="dxa"/>
              <w:bottom w:w="15" w:type="dxa"/>
              <w:right w:w="15" w:type="dxa"/>
            </w:tcMar>
            <w:vAlign w:val="center"/>
          </w:tcPr>
          <w:p>
            <w:pPr>
              <w:widowControl/>
              <w:jc w:val="left"/>
              <w:rPr>
                <w:rFonts w:hint="default" w:eastAsia="宋体"/>
                <w:kern w:val="0"/>
                <w:szCs w:val="21"/>
                <w:lang w:val="en-US" w:eastAsia="zh-CN"/>
              </w:rPr>
            </w:pPr>
            <w:r>
              <w:rPr>
                <w:rFonts w:hint="eastAsia" w:ascii="宋体" w:hAnsi="宋体" w:cs="宋体"/>
                <w:kern w:val="0"/>
                <w:sz w:val="24"/>
                <w:lang w:val="en-US" w:eastAsia="zh-CN"/>
              </w:rPr>
              <w:t>袁先生</w:t>
            </w:r>
          </w:p>
        </w:tc>
        <w:tc>
          <w:tcPr>
            <w:tcW w:w="1671" w:type="dxa"/>
            <w:tcMar>
              <w:top w:w="15" w:type="dxa"/>
              <w:left w:w="15" w:type="dxa"/>
              <w:bottom w:w="15" w:type="dxa"/>
              <w:right w:w="15" w:type="dxa"/>
            </w:tcMar>
            <w:vAlign w:val="center"/>
          </w:tcPr>
          <w:p>
            <w:pPr>
              <w:widowControl/>
              <w:spacing w:line="360" w:lineRule="auto"/>
              <w:ind w:right="21"/>
              <w:jc w:val="left"/>
              <w:rPr>
                <w:rFonts w:ascii="宋体" w:cs="宋体"/>
                <w:kern w:val="0"/>
                <w:sz w:val="24"/>
              </w:rPr>
            </w:pPr>
            <w:r>
              <w:rPr>
                <w:rFonts w:hint="eastAsia" w:ascii="宋体" w:hAnsi="宋体" w:cs="宋体"/>
                <w:kern w:val="0"/>
                <w:sz w:val="24"/>
              </w:rPr>
              <w:t>联系人：</w:t>
            </w:r>
          </w:p>
        </w:tc>
        <w:tc>
          <w:tcPr>
            <w:tcW w:w="3782" w:type="dxa"/>
            <w:tcMar>
              <w:top w:w="15" w:type="dxa"/>
              <w:left w:w="15" w:type="dxa"/>
              <w:bottom w:w="15" w:type="dxa"/>
              <w:right w:w="15" w:type="dxa"/>
            </w:tcMar>
          </w:tcPr>
          <w:p>
            <w:pPr>
              <w:rPr>
                <w:rFonts w:hint="eastAsia" w:ascii="宋体" w:hAnsi="宋体" w:eastAsia="宋体" w:cs="宋体"/>
                <w:kern w:val="0"/>
                <w:sz w:val="24"/>
                <w:lang w:eastAsia="zh-CN"/>
              </w:rPr>
            </w:pPr>
            <w:r>
              <w:rPr>
                <w:rFonts w:hint="eastAsia" w:ascii="宋体" w:hAnsi="宋体" w:cs="宋体"/>
                <w:kern w:val="0"/>
                <w:sz w:val="24"/>
                <w:lang w:val="en-US" w:eastAsia="zh-CN"/>
              </w:rPr>
              <w:t>周婧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5" w:type="dxa"/>
        </w:trPr>
        <w:tc>
          <w:tcPr>
            <w:tcW w:w="1089" w:type="dxa"/>
            <w:tcMar>
              <w:top w:w="15" w:type="dxa"/>
              <w:left w:w="15" w:type="dxa"/>
              <w:bottom w:w="15" w:type="dxa"/>
              <w:right w:w="15" w:type="dxa"/>
            </w:tcMar>
            <w:vAlign w:val="center"/>
          </w:tcPr>
          <w:p>
            <w:pPr>
              <w:widowControl/>
              <w:spacing w:line="360" w:lineRule="auto"/>
              <w:ind w:right="21"/>
              <w:jc w:val="left"/>
              <w:rPr>
                <w:rFonts w:ascii="宋体" w:cs="宋体"/>
                <w:kern w:val="0"/>
                <w:sz w:val="24"/>
              </w:rPr>
            </w:pPr>
            <w:r>
              <w:rPr>
                <w:rFonts w:hint="eastAsia" w:ascii="宋体" w:hAnsi="宋体" w:cs="宋体"/>
                <w:kern w:val="0"/>
                <w:sz w:val="24"/>
              </w:rPr>
              <w:t>电话：</w:t>
            </w:r>
          </w:p>
        </w:tc>
        <w:tc>
          <w:tcPr>
            <w:tcW w:w="3089" w:type="dxa"/>
            <w:tcMar>
              <w:top w:w="15" w:type="dxa"/>
              <w:left w:w="15" w:type="dxa"/>
              <w:bottom w:w="15" w:type="dxa"/>
              <w:right w:w="15" w:type="dxa"/>
            </w:tcMar>
            <w:vAlign w:val="center"/>
          </w:tcPr>
          <w:p>
            <w:pPr>
              <w:widowControl/>
              <w:jc w:val="left"/>
              <w:rPr>
                <w:rFonts w:eastAsia="仿宋"/>
                <w:kern w:val="0"/>
                <w:szCs w:val="21"/>
              </w:rPr>
            </w:pPr>
            <w:r>
              <w:rPr>
                <w:rFonts w:hint="eastAsia" w:ascii="宋体" w:hAnsi="宋体" w:cs="宋体"/>
                <w:kern w:val="0"/>
                <w:sz w:val="24"/>
                <w:lang w:val="en-US" w:eastAsia="zh-CN"/>
              </w:rPr>
              <w:t>0513-59000023</w:t>
            </w:r>
          </w:p>
        </w:tc>
        <w:tc>
          <w:tcPr>
            <w:tcW w:w="1671" w:type="dxa"/>
            <w:tcMar>
              <w:top w:w="15" w:type="dxa"/>
              <w:left w:w="15" w:type="dxa"/>
              <w:bottom w:w="15" w:type="dxa"/>
              <w:right w:w="15" w:type="dxa"/>
            </w:tcMar>
            <w:vAlign w:val="center"/>
          </w:tcPr>
          <w:p>
            <w:pPr>
              <w:widowControl/>
              <w:spacing w:line="360" w:lineRule="auto"/>
              <w:ind w:right="21"/>
              <w:jc w:val="left"/>
              <w:rPr>
                <w:rFonts w:ascii="宋体" w:cs="宋体"/>
                <w:kern w:val="0"/>
                <w:sz w:val="24"/>
              </w:rPr>
            </w:pPr>
            <w:r>
              <w:rPr>
                <w:rFonts w:hint="eastAsia" w:ascii="宋体" w:hAnsi="宋体" w:cs="宋体"/>
                <w:kern w:val="0"/>
                <w:sz w:val="24"/>
              </w:rPr>
              <w:t>电话：</w:t>
            </w:r>
          </w:p>
        </w:tc>
        <w:tc>
          <w:tcPr>
            <w:tcW w:w="3782" w:type="dxa"/>
            <w:tcMar>
              <w:top w:w="15" w:type="dxa"/>
              <w:left w:w="15" w:type="dxa"/>
              <w:bottom w:w="15" w:type="dxa"/>
              <w:right w:w="15" w:type="dxa"/>
            </w:tcMar>
          </w:tcPr>
          <w:p>
            <w:pPr>
              <w:rPr>
                <w:rFonts w:hint="default" w:ascii="宋体" w:hAnsi="宋体" w:eastAsia="宋体" w:cs="宋体"/>
                <w:kern w:val="0"/>
                <w:sz w:val="24"/>
                <w:lang w:val="en-US" w:eastAsia="zh-CN"/>
              </w:rPr>
            </w:pPr>
            <w:r>
              <w:rPr>
                <w:rFonts w:hint="eastAsia" w:ascii="宋体" w:hAnsi="宋体" w:cs="宋体"/>
                <w:kern w:val="0"/>
                <w:sz w:val="24"/>
                <w:lang w:val="en-US" w:eastAsia="zh-CN"/>
              </w:rPr>
              <w:t>18851414160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5" w:type="dxa"/>
        </w:trPr>
        <w:tc>
          <w:tcPr>
            <w:tcW w:w="1089" w:type="dxa"/>
            <w:tcMar>
              <w:top w:w="15" w:type="dxa"/>
              <w:left w:w="15" w:type="dxa"/>
              <w:bottom w:w="15" w:type="dxa"/>
              <w:right w:w="15" w:type="dxa"/>
            </w:tcMar>
            <w:vAlign w:val="center"/>
          </w:tcPr>
          <w:p>
            <w:pPr>
              <w:widowControl/>
              <w:spacing w:line="360" w:lineRule="auto"/>
              <w:ind w:right="21"/>
              <w:jc w:val="left"/>
              <w:rPr>
                <w:rFonts w:ascii="宋体" w:hAnsi="宋体" w:cs="宋体"/>
                <w:kern w:val="0"/>
                <w:sz w:val="24"/>
              </w:rPr>
            </w:pPr>
            <w:r>
              <w:rPr>
                <w:rFonts w:hint="eastAsia" w:ascii="宋体" w:hAnsi="宋体" w:cs="宋体"/>
                <w:kern w:val="0"/>
                <w:sz w:val="24"/>
              </w:rPr>
              <w:t>监督电话</w:t>
            </w:r>
          </w:p>
        </w:tc>
        <w:tc>
          <w:tcPr>
            <w:tcW w:w="3089" w:type="dxa"/>
            <w:tcMar>
              <w:top w:w="15" w:type="dxa"/>
              <w:left w:w="15" w:type="dxa"/>
              <w:bottom w:w="15" w:type="dxa"/>
              <w:right w:w="15" w:type="dxa"/>
            </w:tcMar>
            <w:vAlign w:val="center"/>
          </w:tcPr>
          <w:p>
            <w:pPr>
              <w:widowControl/>
              <w:spacing w:line="360" w:lineRule="auto"/>
              <w:jc w:val="left"/>
              <w:rPr>
                <w:kern w:val="0"/>
                <w:szCs w:val="21"/>
              </w:rPr>
            </w:pPr>
            <w:r>
              <w:rPr>
                <w:rFonts w:hint="eastAsia" w:ascii="宋体" w:hAnsi="宋体" w:eastAsia="宋体" w:cs="宋体"/>
                <w:b/>
                <w:bCs/>
                <w:kern w:val="0"/>
                <w:sz w:val="24"/>
                <w:szCs w:val="24"/>
              </w:rPr>
              <w:t>0513-59000021</w:t>
            </w:r>
          </w:p>
        </w:tc>
        <w:tc>
          <w:tcPr>
            <w:tcW w:w="1671" w:type="dxa"/>
            <w:tcMar>
              <w:top w:w="15" w:type="dxa"/>
              <w:left w:w="15" w:type="dxa"/>
              <w:bottom w:w="15" w:type="dxa"/>
              <w:right w:w="15" w:type="dxa"/>
            </w:tcMar>
            <w:vAlign w:val="center"/>
          </w:tcPr>
          <w:p>
            <w:pPr>
              <w:widowControl/>
              <w:spacing w:line="360" w:lineRule="auto"/>
              <w:ind w:right="21"/>
              <w:jc w:val="left"/>
              <w:rPr>
                <w:rFonts w:ascii="宋体" w:hAnsi="宋体" w:cs="宋体"/>
                <w:kern w:val="0"/>
                <w:sz w:val="24"/>
              </w:rPr>
            </w:pPr>
          </w:p>
        </w:tc>
        <w:tc>
          <w:tcPr>
            <w:tcW w:w="3782" w:type="dxa"/>
            <w:tcMar>
              <w:top w:w="15" w:type="dxa"/>
              <w:left w:w="15" w:type="dxa"/>
              <w:bottom w:w="15" w:type="dxa"/>
              <w:right w:w="15" w:type="dxa"/>
            </w:tcMar>
          </w:tcPr>
          <w:p>
            <w:pPr>
              <w:rPr>
                <w:rFonts w:ascii="宋体" w:hAnsi="宋体" w:cs="宋体"/>
                <w:kern w:val="0"/>
                <w:sz w:val="24"/>
              </w:rPr>
            </w:pPr>
          </w:p>
        </w:tc>
      </w:tr>
      <w:bookmarkEnd w:id="7"/>
      <w:bookmarkEnd w:id="8"/>
      <w:bookmarkEnd w:id="9"/>
      <w:bookmarkEnd w:id="10"/>
    </w:tbl>
    <w:p>
      <w:pPr>
        <w:rPr>
          <w:rFonts w:hint="eastAsia" w:ascii="宋体" w:hAnsi="宋体" w:cs="宋体"/>
        </w:rPr>
      </w:pPr>
      <w:bookmarkStart w:id="16" w:name="_Toc387526281"/>
      <w:bookmarkStart w:id="17" w:name="_Toc184635069"/>
      <w:bookmarkStart w:id="18" w:name="_Toc387526177"/>
      <w:bookmarkStart w:id="19" w:name="_Toc369077558"/>
      <w:bookmarkStart w:id="20" w:name="_Toc363326679"/>
      <w:bookmarkStart w:id="21" w:name="_Toc368759512"/>
      <w:bookmarkStart w:id="22" w:name="_Toc387526373"/>
      <w:bookmarkStart w:id="23" w:name="_Toc6770"/>
      <w:bookmarkStart w:id="24" w:name="_Toc508918235"/>
      <w:r>
        <w:rPr>
          <w:rFonts w:hint="eastAsia" w:ascii="宋体" w:hAnsi="宋体" w:cs="宋体"/>
        </w:rPr>
        <w:br w:type="page"/>
      </w:r>
    </w:p>
    <w:p>
      <w:pPr>
        <w:pStyle w:val="4"/>
        <w:spacing w:before="120" w:after="120" w:line="360" w:lineRule="auto"/>
        <w:rPr>
          <w:rFonts w:ascii="宋体" w:cs="宋体"/>
        </w:rPr>
      </w:pPr>
      <w:r>
        <w:rPr>
          <w:rFonts w:hint="eastAsia" w:ascii="宋体" w:hAnsi="宋体" w:cs="宋体"/>
        </w:rPr>
        <w:t>第二章 投标人须知</w:t>
      </w:r>
      <w:bookmarkEnd w:id="16"/>
      <w:bookmarkEnd w:id="17"/>
      <w:bookmarkEnd w:id="18"/>
      <w:bookmarkEnd w:id="19"/>
      <w:bookmarkEnd w:id="20"/>
      <w:bookmarkEnd w:id="21"/>
      <w:bookmarkEnd w:id="22"/>
      <w:bookmarkEnd w:id="23"/>
      <w:bookmarkEnd w:id="24"/>
    </w:p>
    <w:p>
      <w:pPr>
        <w:pStyle w:val="162"/>
        <w:jc w:val="center"/>
        <w:rPr>
          <w:rFonts w:ascii="宋体"/>
          <w:color w:val="auto"/>
        </w:rPr>
      </w:pPr>
      <w:bookmarkStart w:id="25" w:name="_Toc387526282"/>
      <w:bookmarkStart w:id="26" w:name="_Toc500510922"/>
      <w:bookmarkStart w:id="27" w:name="_Toc16205"/>
      <w:bookmarkStart w:id="28" w:name="_Toc369077559"/>
      <w:bookmarkStart w:id="29" w:name="_Toc508918236"/>
      <w:bookmarkStart w:id="30" w:name="_Toc387526374"/>
      <w:bookmarkStart w:id="31" w:name="_Toc387526178"/>
      <w:r>
        <w:rPr>
          <w:rFonts w:hint="eastAsia" w:ascii="宋体" w:hAnsi="宋体"/>
          <w:color w:val="auto"/>
        </w:rPr>
        <w:t>投标人须知前附表</w:t>
      </w:r>
      <w:bookmarkEnd w:id="25"/>
      <w:bookmarkEnd w:id="26"/>
      <w:bookmarkEnd w:id="27"/>
      <w:bookmarkEnd w:id="28"/>
      <w:bookmarkEnd w:id="29"/>
      <w:bookmarkEnd w:id="30"/>
      <w:bookmarkEnd w:id="31"/>
    </w:p>
    <w:tbl>
      <w:tblPr>
        <w:tblStyle w:val="50"/>
        <w:tblW w:w="9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2693"/>
        <w:gridCol w:w="5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041" w:type="dxa"/>
            <w:vAlign w:val="center"/>
          </w:tcPr>
          <w:p>
            <w:pPr>
              <w:spacing w:line="360" w:lineRule="auto"/>
              <w:jc w:val="center"/>
              <w:rPr>
                <w:rFonts w:ascii="宋体" w:cs="宋体"/>
                <w:b/>
                <w:sz w:val="24"/>
              </w:rPr>
            </w:pPr>
            <w:bookmarkStart w:id="32" w:name="_Toc367894798"/>
            <w:bookmarkStart w:id="33" w:name="_Toc368759375"/>
            <w:bookmarkStart w:id="34" w:name="_Toc368760427"/>
            <w:bookmarkStart w:id="35" w:name="_Toc184635071"/>
            <w:bookmarkStart w:id="36" w:name="_Toc369077561"/>
            <w:bookmarkStart w:id="37" w:name="_Toc363329370"/>
            <w:r>
              <w:rPr>
                <w:rFonts w:hint="eastAsia" w:ascii="宋体" w:hAnsi="宋体" w:cs="宋体"/>
                <w:b/>
                <w:sz w:val="24"/>
              </w:rPr>
              <w:t>条款号</w:t>
            </w:r>
          </w:p>
        </w:tc>
        <w:tc>
          <w:tcPr>
            <w:tcW w:w="2693" w:type="dxa"/>
            <w:vAlign w:val="center"/>
          </w:tcPr>
          <w:p>
            <w:pPr>
              <w:spacing w:line="360" w:lineRule="auto"/>
              <w:jc w:val="center"/>
              <w:rPr>
                <w:rFonts w:ascii="宋体" w:cs="宋体"/>
                <w:b/>
                <w:sz w:val="24"/>
              </w:rPr>
            </w:pPr>
            <w:r>
              <w:rPr>
                <w:rFonts w:hint="eastAsia" w:ascii="宋体" w:hAnsi="宋体" w:cs="宋体"/>
                <w:b/>
                <w:sz w:val="24"/>
              </w:rPr>
              <w:t>条款名称</w:t>
            </w:r>
          </w:p>
        </w:tc>
        <w:tc>
          <w:tcPr>
            <w:tcW w:w="5801" w:type="dxa"/>
            <w:vAlign w:val="center"/>
          </w:tcPr>
          <w:p>
            <w:pPr>
              <w:spacing w:line="360" w:lineRule="auto"/>
              <w:jc w:val="center"/>
              <w:rPr>
                <w:rFonts w:ascii="宋体" w:cs="宋体"/>
                <w:b/>
                <w:sz w:val="24"/>
              </w:rPr>
            </w:pPr>
            <w:r>
              <w:rPr>
                <w:rFonts w:hint="eastAsia" w:ascii="宋体" w:hAnsi="宋体" w:cs="宋体"/>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jc w:val="center"/>
        </w:trPr>
        <w:tc>
          <w:tcPr>
            <w:tcW w:w="1041" w:type="dxa"/>
            <w:vAlign w:val="center"/>
          </w:tcPr>
          <w:p>
            <w:pPr>
              <w:spacing w:line="360" w:lineRule="auto"/>
              <w:jc w:val="center"/>
              <w:rPr>
                <w:rFonts w:ascii="宋体" w:cs="宋体"/>
                <w:sz w:val="24"/>
              </w:rPr>
            </w:pPr>
            <w:r>
              <w:rPr>
                <w:rFonts w:ascii="宋体" w:hAnsi="宋体" w:cs="宋体"/>
                <w:sz w:val="24"/>
              </w:rPr>
              <w:t>1.1.2</w:t>
            </w:r>
          </w:p>
        </w:tc>
        <w:tc>
          <w:tcPr>
            <w:tcW w:w="2693" w:type="dxa"/>
            <w:vAlign w:val="center"/>
          </w:tcPr>
          <w:p>
            <w:pPr>
              <w:spacing w:line="360" w:lineRule="auto"/>
              <w:rPr>
                <w:rFonts w:ascii="宋体" w:cs="宋体"/>
                <w:sz w:val="24"/>
              </w:rPr>
            </w:pPr>
            <w:r>
              <w:rPr>
                <w:rFonts w:hint="eastAsia" w:ascii="宋体" w:hAnsi="宋体" w:cs="宋体"/>
                <w:sz w:val="24"/>
              </w:rPr>
              <w:t>招标人</w:t>
            </w:r>
          </w:p>
        </w:tc>
        <w:tc>
          <w:tcPr>
            <w:tcW w:w="5801" w:type="dxa"/>
            <w:vAlign w:val="center"/>
          </w:tcPr>
          <w:p>
            <w:pPr>
              <w:adjustRightInd w:val="0"/>
              <w:snapToGrid w:val="0"/>
              <w:spacing w:line="400" w:lineRule="exact"/>
              <w:rPr>
                <w:rFonts w:hint="eastAsia" w:ascii="宋体" w:eastAsia="宋体" w:cs="宋体"/>
                <w:sz w:val="24"/>
                <w:lang w:eastAsia="zh-CN"/>
              </w:rPr>
            </w:pPr>
            <w:r>
              <w:rPr>
                <w:rFonts w:hint="eastAsia" w:ascii="宋体" w:hAnsi="宋体" w:cs="宋体"/>
                <w:sz w:val="24"/>
              </w:rPr>
              <w:t>名称：</w:t>
            </w:r>
            <w:r>
              <w:rPr>
                <w:rFonts w:hint="eastAsia" w:ascii="宋体" w:hAnsi="宋体" w:cs="宋体"/>
                <w:sz w:val="24"/>
                <w:lang w:eastAsia="zh-CN"/>
              </w:rPr>
              <w:t>南通创新区管理办公室</w:t>
            </w:r>
          </w:p>
          <w:p>
            <w:pPr>
              <w:adjustRightInd w:val="0"/>
              <w:snapToGrid w:val="0"/>
              <w:spacing w:line="400" w:lineRule="exact"/>
              <w:rPr>
                <w:rFonts w:ascii="宋体" w:cs="宋体"/>
                <w:sz w:val="24"/>
              </w:rPr>
            </w:pPr>
            <w:r>
              <w:rPr>
                <w:rFonts w:hint="eastAsia" w:ascii="宋体" w:hAnsi="宋体" w:cs="宋体"/>
                <w:sz w:val="24"/>
              </w:rPr>
              <w:t>联系人：</w:t>
            </w:r>
            <w:r>
              <w:rPr>
                <w:rFonts w:hint="eastAsia" w:ascii="宋体" w:hAnsi="宋体" w:cs="宋体"/>
                <w:kern w:val="0"/>
                <w:sz w:val="24"/>
                <w:lang w:val="en-US" w:eastAsia="zh-CN"/>
              </w:rPr>
              <w:t>袁先生</w:t>
            </w:r>
            <w:r>
              <w:rPr>
                <w:rFonts w:hint="eastAsia" w:ascii="宋体" w:hAnsi="宋体" w:cs="宋体"/>
                <w:sz w:val="24"/>
              </w:rPr>
              <w:t xml:space="preserve"> </w:t>
            </w:r>
          </w:p>
          <w:p>
            <w:pPr>
              <w:adjustRightInd w:val="0"/>
              <w:snapToGrid w:val="0"/>
              <w:spacing w:line="400" w:lineRule="exact"/>
              <w:rPr>
                <w:rFonts w:ascii="宋体" w:cs="宋体"/>
                <w:sz w:val="24"/>
              </w:rPr>
            </w:pPr>
            <w:r>
              <w:rPr>
                <w:rFonts w:hint="eastAsia" w:ascii="宋体" w:hAnsi="宋体" w:cs="宋体"/>
                <w:sz w:val="24"/>
              </w:rPr>
              <w:t>电话：</w:t>
            </w:r>
            <w:r>
              <w:rPr>
                <w:rFonts w:hint="eastAsia" w:ascii="宋体" w:hAnsi="宋体" w:cs="宋体"/>
                <w:kern w:val="0"/>
                <w:sz w:val="24"/>
                <w:lang w:val="en-US" w:eastAsia="zh-CN"/>
              </w:rPr>
              <w:t>0513-59000023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1041" w:type="dxa"/>
            <w:vAlign w:val="center"/>
          </w:tcPr>
          <w:p>
            <w:pPr>
              <w:spacing w:line="360" w:lineRule="auto"/>
              <w:jc w:val="center"/>
              <w:rPr>
                <w:rFonts w:ascii="宋体" w:cs="宋体"/>
                <w:sz w:val="24"/>
              </w:rPr>
            </w:pPr>
            <w:r>
              <w:rPr>
                <w:rFonts w:ascii="宋体" w:hAnsi="宋体" w:cs="宋体"/>
                <w:sz w:val="24"/>
              </w:rPr>
              <w:t>1.1.3</w:t>
            </w:r>
          </w:p>
        </w:tc>
        <w:tc>
          <w:tcPr>
            <w:tcW w:w="2693" w:type="dxa"/>
            <w:vAlign w:val="center"/>
          </w:tcPr>
          <w:p>
            <w:pPr>
              <w:spacing w:line="360" w:lineRule="auto"/>
              <w:rPr>
                <w:rFonts w:ascii="宋体" w:cs="宋体"/>
                <w:sz w:val="24"/>
              </w:rPr>
            </w:pPr>
            <w:r>
              <w:rPr>
                <w:rFonts w:hint="eastAsia" w:ascii="宋体" w:hAnsi="宋体" w:cs="宋体"/>
                <w:sz w:val="24"/>
              </w:rPr>
              <w:t>招标代理机构</w:t>
            </w:r>
          </w:p>
        </w:tc>
        <w:tc>
          <w:tcPr>
            <w:tcW w:w="5801" w:type="dxa"/>
            <w:vAlign w:val="center"/>
          </w:tcPr>
          <w:p>
            <w:pPr>
              <w:adjustRightInd w:val="0"/>
              <w:snapToGrid w:val="0"/>
              <w:spacing w:line="400" w:lineRule="exact"/>
              <w:rPr>
                <w:rFonts w:ascii="宋体" w:cs="宋体"/>
                <w:sz w:val="24"/>
              </w:rPr>
            </w:pPr>
            <w:r>
              <w:rPr>
                <w:rFonts w:hint="eastAsia" w:ascii="宋体" w:hAnsi="宋体" w:cs="宋体"/>
                <w:sz w:val="24"/>
              </w:rPr>
              <w:t>名称：江苏新世纪工程项目管理有限公司</w:t>
            </w:r>
          </w:p>
          <w:p>
            <w:pPr>
              <w:adjustRightInd w:val="0"/>
              <w:snapToGrid w:val="0"/>
              <w:spacing w:line="400" w:lineRule="exact"/>
              <w:rPr>
                <w:rFonts w:ascii="宋体" w:hAnsi="宋体" w:cs="宋体"/>
                <w:sz w:val="24"/>
              </w:rPr>
            </w:pPr>
            <w:r>
              <w:rPr>
                <w:rFonts w:hint="eastAsia" w:ascii="宋体" w:hAnsi="宋体" w:cs="宋体"/>
                <w:sz w:val="24"/>
              </w:rPr>
              <w:t>地址：</w:t>
            </w:r>
            <w:r>
              <w:rPr>
                <w:rFonts w:hint="eastAsia" w:ascii="宋体" w:hAnsi="宋体" w:cs="宋体"/>
                <w:sz w:val="24"/>
              </w:rPr>
              <w:tab/>
            </w:r>
            <w:r>
              <w:rPr>
                <w:rFonts w:hint="eastAsia" w:ascii="宋体" w:hAnsi="宋体" w:cs="宋体"/>
                <w:sz w:val="24"/>
              </w:rPr>
              <w:t>南通市崇川区江海大道 555 号鸿鸣摩尔 1 幢 13 层</w:t>
            </w:r>
          </w:p>
          <w:p>
            <w:pPr>
              <w:adjustRightInd w:val="0"/>
              <w:snapToGrid w:val="0"/>
              <w:spacing w:line="400" w:lineRule="exact"/>
              <w:rPr>
                <w:rFonts w:hint="eastAsia" w:ascii="宋体" w:hAnsi="宋体" w:eastAsia="宋体" w:cs="宋体"/>
                <w:sz w:val="24"/>
                <w:lang w:eastAsia="zh-CN"/>
              </w:rPr>
            </w:pPr>
            <w:r>
              <w:rPr>
                <w:rFonts w:hint="eastAsia" w:ascii="宋体" w:hAnsi="宋体" w:cs="宋体"/>
                <w:sz w:val="24"/>
              </w:rPr>
              <w:t>联系人：</w:t>
            </w:r>
            <w:r>
              <w:rPr>
                <w:rFonts w:hint="eastAsia" w:ascii="宋体" w:hAnsi="宋体" w:cs="宋体"/>
                <w:sz w:val="24"/>
                <w:lang w:val="en-US" w:eastAsia="zh-CN"/>
              </w:rPr>
              <w:t>周婧</w:t>
            </w:r>
          </w:p>
          <w:p>
            <w:pPr>
              <w:adjustRightInd w:val="0"/>
              <w:snapToGrid w:val="0"/>
              <w:spacing w:line="400" w:lineRule="exact"/>
              <w:rPr>
                <w:rFonts w:ascii="宋体" w:hAnsi="宋体" w:cs="宋体"/>
                <w:sz w:val="24"/>
              </w:rPr>
            </w:pPr>
            <w:r>
              <w:rPr>
                <w:rFonts w:hint="eastAsia" w:ascii="宋体" w:hAnsi="宋体" w:cs="宋体"/>
                <w:sz w:val="24"/>
              </w:rPr>
              <w:t>电话：</w:t>
            </w:r>
            <w:r>
              <w:rPr>
                <w:rFonts w:hint="eastAsia" w:ascii="宋体" w:hAnsi="宋体" w:cs="宋体"/>
                <w:sz w:val="24"/>
              </w:rPr>
              <w:tab/>
            </w:r>
            <w:r>
              <w:rPr>
                <w:rFonts w:hint="eastAsia" w:ascii="宋体" w:hAnsi="宋体" w:cs="宋体"/>
                <w:sz w:val="24"/>
                <w:lang w:val="en-US" w:eastAsia="zh-CN"/>
              </w:rPr>
              <w:t>18851414160</w:t>
            </w:r>
          </w:p>
          <w:p>
            <w:pPr>
              <w:adjustRightInd w:val="0"/>
              <w:snapToGrid w:val="0"/>
              <w:spacing w:line="400" w:lineRule="exact"/>
              <w:rPr>
                <w:rFonts w:ascii="宋体" w:hAnsi="宋体" w:cs="宋体"/>
                <w:sz w:val="24"/>
              </w:rPr>
            </w:pPr>
            <w:r>
              <w:rPr>
                <w:rFonts w:hint="eastAsia" w:ascii="宋体" w:hAnsi="宋体" w:cs="宋体"/>
                <w:sz w:val="24"/>
              </w:rPr>
              <w:t>邮箱：</w:t>
            </w:r>
            <w:r>
              <w:rPr>
                <w:rFonts w:hint="eastAsia" w:ascii="宋体" w:hAnsi="宋体" w:cs="宋体"/>
                <w:sz w:val="24"/>
                <w:lang w:val="en-US" w:eastAsia="zh-CN"/>
              </w:rPr>
              <w:t>1367212214</w:t>
            </w:r>
            <w:r>
              <w:rPr>
                <w:rFonts w:hint="eastAsia" w:ascii="宋体" w:hAnsi="宋体" w:cs="宋体"/>
                <w:sz w:val="24"/>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41" w:type="dxa"/>
            <w:vAlign w:val="center"/>
          </w:tcPr>
          <w:p>
            <w:pPr>
              <w:spacing w:line="360" w:lineRule="auto"/>
              <w:jc w:val="center"/>
              <w:rPr>
                <w:rFonts w:ascii="宋体" w:cs="宋体"/>
                <w:sz w:val="24"/>
              </w:rPr>
            </w:pPr>
            <w:r>
              <w:rPr>
                <w:rFonts w:ascii="宋体" w:hAnsi="宋体" w:cs="宋体"/>
                <w:sz w:val="24"/>
              </w:rPr>
              <w:t>1.1.4</w:t>
            </w:r>
          </w:p>
        </w:tc>
        <w:tc>
          <w:tcPr>
            <w:tcW w:w="2693" w:type="dxa"/>
            <w:vAlign w:val="center"/>
          </w:tcPr>
          <w:p>
            <w:pPr>
              <w:spacing w:line="360" w:lineRule="auto"/>
              <w:rPr>
                <w:rFonts w:ascii="宋体" w:cs="宋体"/>
                <w:sz w:val="24"/>
              </w:rPr>
            </w:pPr>
            <w:r>
              <w:rPr>
                <w:rFonts w:hint="eastAsia" w:ascii="宋体" w:hAnsi="宋体" w:cs="宋体"/>
                <w:sz w:val="24"/>
              </w:rPr>
              <w:t>项目名称</w:t>
            </w:r>
          </w:p>
        </w:tc>
        <w:tc>
          <w:tcPr>
            <w:tcW w:w="5801" w:type="dxa"/>
            <w:vAlign w:val="center"/>
          </w:tcPr>
          <w:p>
            <w:pPr>
              <w:spacing w:line="360" w:lineRule="auto"/>
              <w:rPr>
                <w:rFonts w:ascii="宋体" w:cs="宋体"/>
                <w:sz w:val="24"/>
              </w:rPr>
            </w:pPr>
            <w:r>
              <w:rPr>
                <w:rFonts w:hint="eastAsia" w:ascii="宋体" w:hAnsi="宋体" w:cs="宋体"/>
                <w:sz w:val="24"/>
              </w:rPr>
              <w:t>B大道以北、湖东路以东地块(暂定名金融商务中心启动区）充电桩采购及安装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41" w:type="dxa"/>
            <w:vAlign w:val="center"/>
          </w:tcPr>
          <w:p>
            <w:pPr>
              <w:spacing w:line="360" w:lineRule="auto"/>
              <w:jc w:val="center"/>
              <w:rPr>
                <w:rFonts w:ascii="宋体" w:cs="宋体"/>
                <w:sz w:val="24"/>
              </w:rPr>
            </w:pPr>
            <w:r>
              <w:rPr>
                <w:rFonts w:ascii="宋体" w:hAnsi="宋体" w:cs="宋体"/>
                <w:sz w:val="24"/>
              </w:rPr>
              <w:t>1.2.1</w:t>
            </w:r>
          </w:p>
        </w:tc>
        <w:tc>
          <w:tcPr>
            <w:tcW w:w="2693" w:type="dxa"/>
            <w:vAlign w:val="center"/>
          </w:tcPr>
          <w:p>
            <w:pPr>
              <w:spacing w:line="360" w:lineRule="auto"/>
              <w:rPr>
                <w:rFonts w:ascii="宋体" w:cs="宋体"/>
                <w:sz w:val="24"/>
              </w:rPr>
            </w:pPr>
            <w:r>
              <w:rPr>
                <w:rFonts w:hint="eastAsia" w:ascii="宋体" w:hAnsi="宋体" w:cs="宋体"/>
                <w:sz w:val="24"/>
              </w:rPr>
              <w:t>资金来源</w:t>
            </w:r>
          </w:p>
        </w:tc>
        <w:tc>
          <w:tcPr>
            <w:tcW w:w="5801" w:type="dxa"/>
            <w:vAlign w:val="center"/>
          </w:tcPr>
          <w:p>
            <w:pPr>
              <w:spacing w:line="360" w:lineRule="auto"/>
              <w:rPr>
                <w:rFonts w:ascii="宋体" w:cs="宋体"/>
                <w:sz w:val="24"/>
              </w:rPr>
            </w:pPr>
            <w:r>
              <w:rPr>
                <w:rFonts w:hint="eastAsia" w:ascii="宋体" w:hAnsi="宋体" w:cs="宋体"/>
                <w:sz w:val="24"/>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41" w:type="dxa"/>
            <w:vAlign w:val="center"/>
          </w:tcPr>
          <w:p>
            <w:pPr>
              <w:spacing w:line="360" w:lineRule="auto"/>
              <w:jc w:val="center"/>
              <w:rPr>
                <w:rFonts w:ascii="宋体" w:cs="宋体"/>
                <w:sz w:val="24"/>
              </w:rPr>
            </w:pPr>
            <w:r>
              <w:rPr>
                <w:rFonts w:ascii="宋体" w:hAnsi="宋体" w:cs="宋体"/>
                <w:sz w:val="24"/>
              </w:rPr>
              <w:t>1.2.2</w:t>
            </w:r>
          </w:p>
        </w:tc>
        <w:tc>
          <w:tcPr>
            <w:tcW w:w="2693" w:type="dxa"/>
            <w:vAlign w:val="center"/>
          </w:tcPr>
          <w:p>
            <w:pPr>
              <w:spacing w:line="360" w:lineRule="auto"/>
              <w:rPr>
                <w:rFonts w:ascii="宋体" w:cs="宋体"/>
                <w:sz w:val="24"/>
              </w:rPr>
            </w:pPr>
            <w:r>
              <w:rPr>
                <w:rFonts w:hint="eastAsia" w:ascii="宋体" w:hAnsi="宋体" w:cs="宋体"/>
                <w:sz w:val="24"/>
              </w:rPr>
              <w:t>出资比例</w:t>
            </w:r>
          </w:p>
        </w:tc>
        <w:tc>
          <w:tcPr>
            <w:tcW w:w="5801" w:type="dxa"/>
            <w:vAlign w:val="center"/>
          </w:tcPr>
          <w:p>
            <w:pPr>
              <w:spacing w:line="360" w:lineRule="auto"/>
              <w:rPr>
                <w:rFonts w:ascii="宋体" w:cs="宋体"/>
                <w:sz w:val="24"/>
              </w:rPr>
            </w:pPr>
            <w:r>
              <w:rPr>
                <w:rFonts w:ascii="宋体" w:hAnsi="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41" w:type="dxa"/>
            <w:vAlign w:val="center"/>
          </w:tcPr>
          <w:p>
            <w:pPr>
              <w:spacing w:line="360" w:lineRule="auto"/>
              <w:jc w:val="center"/>
              <w:rPr>
                <w:rFonts w:ascii="宋体" w:cs="宋体"/>
                <w:sz w:val="24"/>
              </w:rPr>
            </w:pPr>
            <w:r>
              <w:rPr>
                <w:rFonts w:ascii="宋体" w:hAnsi="宋体" w:cs="宋体"/>
                <w:sz w:val="24"/>
              </w:rPr>
              <w:t>1.2.3</w:t>
            </w:r>
          </w:p>
        </w:tc>
        <w:tc>
          <w:tcPr>
            <w:tcW w:w="2693" w:type="dxa"/>
            <w:vAlign w:val="center"/>
          </w:tcPr>
          <w:p>
            <w:pPr>
              <w:spacing w:line="360" w:lineRule="auto"/>
              <w:rPr>
                <w:rFonts w:ascii="宋体" w:cs="宋体"/>
                <w:sz w:val="24"/>
              </w:rPr>
            </w:pPr>
            <w:r>
              <w:rPr>
                <w:rFonts w:hint="eastAsia" w:ascii="宋体" w:hAnsi="宋体" w:cs="宋体"/>
                <w:sz w:val="24"/>
              </w:rPr>
              <w:t>资金落实情况</w:t>
            </w:r>
          </w:p>
        </w:tc>
        <w:tc>
          <w:tcPr>
            <w:tcW w:w="5801" w:type="dxa"/>
            <w:vAlign w:val="center"/>
          </w:tcPr>
          <w:p>
            <w:pPr>
              <w:spacing w:line="360" w:lineRule="auto"/>
              <w:rPr>
                <w:rFonts w:ascii="宋体" w:cs="宋体"/>
                <w:sz w:val="24"/>
              </w:rPr>
            </w:pPr>
            <w:r>
              <w:rPr>
                <w:rFonts w:hint="eastAsia" w:ascii="宋体" w:hAnsi="宋体" w:cs="宋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041" w:type="dxa"/>
            <w:vAlign w:val="center"/>
          </w:tcPr>
          <w:p>
            <w:pPr>
              <w:spacing w:line="360" w:lineRule="auto"/>
              <w:jc w:val="center"/>
              <w:rPr>
                <w:rFonts w:ascii="宋体" w:cs="宋体"/>
                <w:sz w:val="24"/>
              </w:rPr>
            </w:pPr>
            <w:r>
              <w:rPr>
                <w:rFonts w:ascii="宋体" w:hAnsi="宋体" w:cs="宋体"/>
                <w:sz w:val="24"/>
              </w:rPr>
              <w:t>1.3.1</w:t>
            </w:r>
          </w:p>
        </w:tc>
        <w:tc>
          <w:tcPr>
            <w:tcW w:w="2693" w:type="dxa"/>
            <w:vAlign w:val="center"/>
          </w:tcPr>
          <w:p>
            <w:pPr>
              <w:spacing w:line="360" w:lineRule="auto"/>
              <w:rPr>
                <w:rFonts w:ascii="宋体" w:cs="宋体"/>
                <w:sz w:val="24"/>
              </w:rPr>
            </w:pPr>
            <w:r>
              <w:rPr>
                <w:rFonts w:hint="eastAsia" w:ascii="宋体" w:hAnsi="宋体" w:cs="宋体"/>
                <w:sz w:val="24"/>
              </w:rPr>
              <w:t>招标范围</w:t>
            </w:r>
          </w:p>
        </w:tc>
        <w:tc>
          <w:tcPr>
            <w:tcW w:w="5801" w:type="dxa"/>
            <w:vAlign w:val="center"/>
          </w:tcPr>
          <w:p>
            <w:pPr>
              <w:widowControl/>
              <w:spacing w:line="360" w:lineRule="auto"/>
              <w:ind w:firstLine="422"/>
              <w:jc w:val="left"/>
              <w:outlineLvl w:val="1"/>
              <w:rPr>
                <w:rFonts w:ascii="宋体" w:hAnsi="宋体" w:cs="宋体"/>
                <w:sz w:val="24"/>
              </w:rPr>
            </w:pPr>
            <w:r>
              <w:rPr>
                <w:rFonts w:hint="eastAsia" w:ascii="宋体" w:hAnsi="宋体" w:cs="宋体"/>
                <w:sz w:val="24"/>
              </w:rPr>
              <w:t>B大道以北、湖东路以东地块(暂定名金融商务中心启动区）充电桩采购及安装，</w:t>
            </w:r>
            <w:r>
              <w:rPr>
                <w:rFonts w:hint="eastAsia" w:ascii="宋体" w:hAnsi="宋体" w:cs="宋体"/>
                <w:spacing w:val="-6"/>
                <w:kern w:val="0"/>
                <w:sz w:val="24"/>
              </w:rPr>
              <w:t>包括但不限于6</w:t>
            </w:r>
            <w:r>
              <w:rPr>
                <w:rFonts w:hint="eastAsia" w:ascii="宋体" w:hAnsi="宋体" w:cs="宋体"/>
                <w:spacing w:val="-6"/>
                <w:kern w:val="0"/>
                <w:sz w:val="24"/>
                <w:lang w:val="en-US" w:eastAsia="zh-CN"/>
              </w:rPr>
              <w:t>21</w:t>
            </w:r>
            <w:r>
              <w:rPr>
                <w:rFonts w:hint="eastAsia" w:ascii="宋体" w:hAnsi="宋体" w:cs="宋体"/>
                <w:spacing w:val="-6"/>
                <w:kern w:val="0"/>
                <w:sz w:val="24"/>
              </w:rPr>
              <w:t>个7kw充电桩、300个落地支架采购、安装、调试、验收、维保等伴随服务，</w:t>
            </w:r>
            <w:r>
              <w:rPr>
                <w:rFonts w:hint="eastAsia" w:ascii="宋体" w:hAnsi="宋体" w:cs="宋体"/>
                <w:sz w:val="24"/>
              </w:rPr>
              <w:t>具体详见工程量清单及施工图。</w:t>
            </w:r>
            <w:r>
              <w:rPr>
                <w:rFonts w:hint="eastAsia" w:ascii="宋体" w:hAnsi="宋体" w:cs="宋体"/>
                <w:spacing w:val="-6"/>
                <w:kern w:val="0"/>
                <w:sz w:val="24"/>
              </w:rPr>
              <w:t>上述数量为暂估，最终以实际安装数量为准。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1041" w:type="dxa"/>
            <w:vAlign w:val="center"/>
          </w:tcPr>
          <w:p>
            <w:pPr>
              <w:spacing w:line="360" w:lineRule="auto"/>
              <w:jc w:val="center"/>
              <w:rPr>
                <w:rFonts w:ascii="宋体" w:cs="宋体"/>
                <w:sz w:val="24"/>
              </w:rPr>
            </w:pPr>
            <w:r>
              <w:rPr>
                <w:rFonts w:ascii="宋体" w:hAnsi="宋体" w:cs="宋体"/>
                <w:sz w:val="24"/>
              </w:rPr>
              <w:t>1.3.2</w:t>
            </w:r>
          </w:p>
        </w:tc>
        <w:tc>
          <w:tcPr>
            <w:tcW w:w="2693" w:type="dxa"/>
            <w:vAlign w:val="center"/>
          </w:tcPr>
          <w:p>
            <w:pPr>
              <w:spacing w:line="360" w:lineRule="auto"/>
              <w:rPr>
                <w:rFonts w:ascii="宋体" w:cs="宋体"/>
                <w:sz w:val="24"/>
              </w:rPr>
            </w:pPr>
            <w:r>
              <w:rPr>
                <w:rFonts w:hint="eastAsia" w:ascii="宋体" w:cs="宋体"/>
                <w:sz w:val="24"/>
              </w:rPr>
              <w:t>工期</w:t>
            </w:r>
          </w:p>
        </w:tc>
        <w:tc>
          <w:tcPr>
            <w:tcW w:w="5801" w:type="dxa"/>
            <w:vAlign w:val="center"/>
          </w:tcPr>
          <w:p>
            <w:pPr>
              <w:spacing w:line="360" w:lineRule="auto"/>
              <w:rPr>
                <w:rFonts w:ascii="宋体" w:hAnsi="宋体" w:cs="宋体"/>
                <w:kern w:val="0"/>
                <w:sz w:val="24"/>
              </w:rPr>
            </w:pPr>
            <w:r>
              <w:rPr>
                <w:rFonts w:hint="eastAsia" w:ascii="宋体" w:hAnsi="宋体" w:cs="宋体"/>
                <w:kern w:val="0"/>
                <w:sz w:val="24"/>
              </w:rPr>
              <w:t>60日历天；计划开工日期：2024年5月，计划竣工日期：2024年7月。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41" w:type="dxa"/>
            <w:vAlign w:val="center"/>
          </w:tcPr>
          <w:p>
            <w:pPr>
              <w:spacing w:line="360" w:lineRule="auto"/>
              <w:jc w:val="center"/>
              <w:rPr>
                <w:rFonts w:ascii="宋体" w:cs="宋体"/>
                <w:sz w:val="24"/>
              </w:rPr>
            </w:pPr>
            <w:r>
              <w:rPr>
                <w:rFonts w:ascii="宋体" w:hAnsi="宋体" w:cs="宋体"/>
                <w:sz w:val="24"/>
              </w:rPr>
              <w:t>1.3.3</w:t>
            </w:r>
          </w:p>
        </w:tc>
        <w:tc>
          <w:tcPr>
            <w:tcW w:w="2693" w:type="dxa"/>
            <w:vAlign w:val="center"/>
          </w:tcPr>
          <w:p>
            <w:pPr>
              <w:spacing w:line="360" w:lineRule="auto"/>
              <w:rPr>
                <w:rFonts w:ascii="宋体" w:cs="宋体"/>
                <w:sz w:val="24"/>
              </w:rPr>
            </w:pPr>
            <w:r>
              <w:rPr>
                <w:rFonts w:hint="eastAsia" w:ascii="宋体" w:hAnsi="宋体" w:cs="宋体"/>
                <w:sz w:val="24"/>
              </w:rPr>
              <w:t>交货地点</w:t>
            </w:r>
          </w:p>
        </w:tc>
        <w:tc>
          <w:tcPr>
            <w:tcW w:w="5801" w:type="dxa"/>
            <w:vAlign w:val="center"/>
          </w:tcPr>
          <w:p>
            <w:pPr>
              <w:spacing w:line="360" w:lineRule="auto"/>
              <w:rPr>
                <w:rFonts w:ascii="宋体" w:hAnsi="宋体" w:cs="宋体"/>
                <w:sz w:val="24"/>
              </w:rPr>
            </w:pPr>
            <w:r>
              <w:rPr>
                <w:rFonts w:hint="eastAsia" w:ascii="宋体" w:hAnsi="宋体" w:cs="宋体"/>
                <w:sz w:val="24"/>
              </w:rPr>
              <w:t>B大道以北、湖东路以东，具体按招标人指定地点送货。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41" w:type="dxa"/>
            <w:vAlign w:val="center"/>
          </w:tcPr>
          <w:p>
            <w:pPr>
              <w:spacing w:line="360" w:lineRule="auto"/>
              <w:rPr>
                <w:rFonts w:ascii="宋体" w:cs="宋体"/>
                <w:sz w:val="24"/>
              </w:rPr>
            </w:pPr>
            <w:r>
              <w:rPr>
                <w:rFonts w:ascii="宋体" w:hAnsi="宋体" w:cs="宋体"/>
                <w:sz w:val="24"/>
              </w:rPr>
              <w:t>1.3.4</w:t>
            </w:r>
          </w:p>
        </w:tc>
        <w:tc>
          <w:tcPr>
            <w:tcW w:w="2693" w:type="dxa"/>
            <w:vAlign w:val="center"/>
          </w:tcPr>
          <w:p>
            <w:pPr>
              <w:spacing w:line="360" w:lineRule="auto"/>
              <w:rPr>
                <w:rFonts w:ascii="宋体" w:cs="宋体"/>
                <w:sz w:val="24"/>
              </w:rPr>
            </w:pPr>
            <w:r>
              <w:rPr>
                <w:rFonts w:hint="eastAsia" w:ascii="宋体" w:hAnsi="宋体" w:cs="宋体"/>
                <w:sz w:val="24"/>
              </w:rPr>
              <w:t>质量要求及验收标准</w:t>
            </w:r>
          </w:p>
        </w:tc>
        <w:tc>
          <w:tcPr>
            <w:tcW w:w="5801" w:type="dxa"/>
            <w:vAlign w:val="center"/>
          </w:tcPr>
          <w:p>
            <w:pPr>
              <w:spacing w:line="360" w:lineRule="auto"/>
              <w:rPr>
                <w:rFonts w:ascii="宋体" w:hAnsi="宋体" w:cs="宋体"/>
                <w:sz w:val="24"/>
              </w:rPr>
            </w:pPr>
            <w:r>
              <w:rPr>
                <w:rFonts w:hint="eastAsia" w:ascii="宋体" w:hAnsi="宋体" w:cs="宋体"/>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41" w:type="dxa"/>
            <w:vAlign w:val="center"/>
          </w:tcPr>
          <w:p>
            <w:pPr>
              <w:spacing w:line="360" w:lineRule="auto"/>
              <w:rPr>
                <w:rFonts w:ascii="宋体" w:cs="宋体"/>
                <w:sz w:val="24"/>
              </w:rPr>
            </w:pPr>
            <w:r>
              <w:rPr>
                <w:rFonts w:ascii="宋体" w:hAnsi="宋体" w:cs="宋体"/>
                <w:sz w:val="24"/>
              </w:rPr>
              <w:t>1.4.1</w:t>
            </w:r>
          </w:p>
        </w:tc>
        <w:tc>
          <w:tcPr>
            <w:tcW w:w="2693" w:type="dxa"/>
            <w:vAlign w:val="center"/>
          </w:tcPr>
          <w:p>
            <w:pPr>
              <w:spacing w:line="360" w:lineRule="auto"/>
              <w:rPr>
                <w:rFonts w:ascii="宋体" w:cs="宋体"/>
                <w:sz w:val="24"/>
              </w:rPr>
            </w:pPr>
            <w:r>
              <w:rPr>
                <w:rFonts w:hint="eastAsia" w:ascii="宋体" w:hAnsi="宋体" w:cs="宋体"/>
                <w:sz w:val="24"/>
              </w:rPr>
              <w:t>投标人资格要求</w:t>
            </w:r>
          </w:p>
        </w:tc>
        <w:tc>
          <w:tcPr>
            <w:tcW w:w="5801" w:type="dxa"/>
            <w:vAlign w:val="center"/>
          </w:tcPr>
          <w:p>
            <w:pPr>
              <w:spacing w:line="360" w:lineRule="auto"/>
              <w:rPr>
                <w:rFonts w:ascii="宋体" w:cs="宋体"/>
                <w:sz w:val="24"/>
              </w:rPr>
            </w:pPr>
            <w:r>
              <w:rPr>
                <w:rFonts w:hint="eastAsia" w:ascii="宋体" w:hAnsi="宋体" w:cs="宋体"/>
                <w:sz w:val="24"/>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41" w:type="dxa"/>
            <w:vAlign w:val="center"/>
          </w:tcPr>
          <w:p>
            <w:pPr>
              <w:spacing w:line="360" w:lineRule="auto"/>
              <w:rPr>
                <w:rFonts w:ascii="宋体" w:cs="宋体"/>
                <w:sz w:val="24"/>
              </w:rPr>
            </w:pPr>
            <w:r>
              <w:rPr>
                <w:rFonts w:ascii="宋体" w:hAnsi="宋体" w:cs="宋体"/>
                <w:sz w:val="24"/>
              </w:rPr>
              <w:t>1.4.2</w:t>
            </w:r>
          </w:p>
        </w:tc>
        <w:tc>
          <w:tcPr>
            <w:tcW w:w="2693" w:type="dxa"/>
            <w:vAlign w:val="center"/>
          </w:tcPr>
          <w:p>
            <w:pPr>
              <w:spacing w:line="360" w:lineRule="auto"/>
              <w:rPr>
                <w:rFonts w:ascii="宋体" w:cs="宋体"/>
                <w:sz w:val="24"/>
              </w:rPr>
            </w:pPr>
            <w:r>
              <w:rPr>
                <w:rFonts w:hint="eastAsia" w:ascii="宋体" w:hAnsi="宋体" w:cs="宋体"/>
                <w:sz w:val="24"/>
              </w:rPr>
              <w:t>是否接受联合体投标</w:t>
            </w:r>
          </w:p>
        </w:tc>
        <w:tc>
          <w:tcPr>
            <w:tcW w:w="5801" w:type="dxa"/>
            <w:vAlign w:val="center"/>
          </w:tcPr>
          <w:p>
            <w:pPr>
              <w:spacing w:line="360" w:lineRule="auto"/>
              <w:rPr>
                <w:rFonts w:ascii="宋体" w:cs="宋体"/>
                <w:kern w:val="0"/>
                <w:sz w:val="24"/>
              </w:rPr>
            </w:pPr>
            <w:r>
              <w:rPr>
                <w:rFonts w:hint="eastAsia" w:ascii="宋体" w:hAnsi="宋体" w:cs="宋体"/>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41" w:type="dxa"/>
            <w:vAlign w:val="center"/>
          </w:tcPr>
          <w:p>
            <w:pPr>
              <w:spacing w:line="360" w:lineRule="auto"/>
              <w:rPr>
                <w:rFonts w:ascii="宋体" w:cs="宋体"/>
                <w:b/>
                <w:sz w:val="24"/>
              </w:rPr>
            </w:pPr>
            <w:r>
              <w:rPr>
                <w:rFonts w:ascii="宋体" w:hAnsi="宋体" w:cs="宋体"/>
                <w:sz w:val="24"/>
              </w:rPr>
              <w:t>1.9.1</w:t>
            </w:r>
          </w:p>
        </w:tc>
        <w:tc>
          <w:tcPr>
            <w:tcW w:w="2693" w:type="dxa"/>
            <w:vAlign w:val="center"/>
          </w:tcPr>
          <w:p>
            <w:pPr>
              <w:spacing w:line="360" w:lineRule="auto"/>
              <w:rPr>
                <w:rFonts w:ascii="宋体" w:cs="宋体"/>
                <w:b/>
                <w:sz w:val="24"/>
              </w:rPr>
            </w:pPr>
            <w:r>
              <w:rPr>
                <w:rFonts w:hint="eastAsia" w:ascii="宋体" w:hAnsi="宋体" w:cs="宋体"/>
                <w:kern w:val="0"/>
                <w:sz w:val="24"/>
              </w:rPr>
              <w:t>踏勘现场</w:t>
            </w:r>
          </w:p>
        </w:tc>
        <w:tc>
          <w:tcPr>
            <w:tcW w:w="5801" w:type="dxa"/>
            <w:vAlign w:val="center"/>
          </w:tcPr>
          <w:p>
            <w:pPr>
              <w:spacing w:line="360" w:lineRule="auto"/>
              <w:rPr>
                <w:rFonts w:ascii="宋体" w:cs="宋体"/>
                <w:b/>
                <w:sz w:val="24"/>
                <w:u w:val="single"/>
              </w:rPr>
            </w:pPr>
            <w:r>
              <w:rPr>
                <w:rFonts w:hint="eastAsia" w:ascii="宋体" w:hAnsi="宋体" w:cs="宋体"/>
                <w:sz w:val="24"/>
              </w:rPr>
              <w:t>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41" w:type="dxa"/>
            <w:vAlign w:val="center"/>
          </w:tcPr>
          <w:p>
            <w:pPr>
              <w:spacing w:line="360" w:lineRule="auto"/>
              <w:rPr>
                <w:rFonts w:ascii="宋体" w:cs="宋体"/>
                <w:sz w:val="24"/>
              </w:rPr>
            </w:pPr>
            <w:r>
              <w:rPr>
                <w:rFonts w:ascii="宋体" w:hAnsi="宋体" w:cs="宋体"/>
                <w:sz w:val="24"/>
              </w:rPr>
              <w:t>1.10</w:t>
            </w:r>
          </w:p>
        </w:tc>
        <w:tc>
          <w:tcPr>
            <w:tcW w:w="2693" w:type="dxa"/>
            <w:vAlign w:val="center"/>
          </w:tcPr>
          <w:p>
            <w:pPr>
              <w:spacing w:line="360" w:lineRule="auto"/>
              <w:rPr>
                <w:rFonts w:ascii="宋体" w:cs="宋体"/>
                <w:sz w:val="24"/>
              </w:rPr>
            </w:pPr>
            <w:r>
              <w:rPr>
                <w:rFonts w:hint="eastAsia" w:ascii="宋体" w:hAnsi="宋体" w:cs="宋体"/>
                <w:sz w:val="24"/>
              </w:rPr>
              <w:t>投标预备会</w:t>
            </w:r>
          </w:p>
        </w:tc>
        <w:tc>
          <w:tcPr>
            <w:tcW w:w="5801" w:type="dxa"/>
            <w:vAlign w:val="center"/>
          </w:tcPr>
          <w:p>
            <w:pPr>
              <w:spacing w:line="360" w:lineRule="auto"/>
              <w:rPr>
                <w:rFonts w:ascii="宋体" w:cs="宋体"/>
                <w:sz w:val="24"/>
              </w:rPr>
            </w:pPr>
            <w:r>
              <w:rPr>
                <w:rFonts w:hint="eastAsia" w:ascii="宋体" w:hAnsi="宋体" w:cs="宋体"/>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41" w:type="dxa"/>
            <w:vAlign w:val="center"/>
          </w:tcPr>
          <w:p>
            <w:pPr>
              <w:spacing w:line="360" w:lineRule="auto"/>
              <w:rPr>
                <w:rFonts w:ascii="宋体" w:cs="宋体"/>
                <w:sz w:val="24"/>
              </w:rPr>
            </w:pPr>
            <w:r>
              <w:rPr>
                <w:rFonts w:ascii="宋体" w:hAnsi="宋体" w:cs="宋体"/>
                <w:sz w:val="24"/>
              </w:rPr>
              <w:t>1.11</w:t>
            </w:r>
          </w:p>
        </w:tc>
        <w:tc>
          <w:tcPr>
            <w:tcW w:w="2693" w:type="dxa"/>
            <w:vAlign w:val="center"/>
          </w:tcPr>
          <w:p>
            <w:pPr>
              <w:spacing w:line="360" w:lineRule="auto"/>
              <w:rPr>
                <w:rFonts w:ascii="宋体" w:cs="宋体"/>
                <w:sz w:val="24"/>
              </w:rPr>
            </w:pPr>
            <w:r>
              <w:rPr>
                <w:rFonts w:hint="eastAsia" w:ascii="宋体" w:hAnsi="宋体" w:cs="宋体"/>
                <w:sz w:val="24"/>
              </w:rPr>
              <w:t>偏离</w:t>
            </w:r>
          </w:p>
        </w:tc>
        <w:tc>
          <w:tcPr>
            <w:tcW w:w="5801" w:type="dxa"/>
            <w:vAlign w:val="center"/>
          </w:tcPr>
          <w:p>
            <w:pPr>
              <w:spacing w:line="360" w:lineRule="auto"/>
              <w:rPr>
                <w:rFonts w:ascii="宋体" w:cs="宋体"/>
                <w:sz w:val="24"/>
              </w:rPr>
            </w:pPr>
            <w:r>
              <w:rPr>
                <w:rFonts w:hint="eastAsia" w:ascii="宋体" w:hAnsi="宋体" w:cs="宋体"/>
                <w:sz w:val="24"/>
              </w:rPr>
              <w:t>不允许负偏离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041" w:type="dxa"/>
            <w:vAlign w:val="center"/>
          </w:tcPr>
          <w:p>
            <w:pPr>
              <w:spacing w:line="360" w:lineRule="auto"/>
              <w:rPr>
                <w:rFonts w:ascii="宋体" w:cs="宋体"/>
                <w:sz w:val="24"/>
              </w:rPr>
            </w:pPr>
            <w:r>
              <w:rPr>
                <w:rFonts w:ascii="宋体" w:hAnsi="宋体" w:cs="宋体"/>
                <w:sz w:val="24"/>
              </w:rPr>
              <w:t>2.1.1</w:t>
            </w:r>
          </w:p>
        </w:tc>
        <w:tc>
          <w:tcPr>
            <w:tcW w:w="2693" w:type="dxa"/>
            <w:vAlign w:val="center"/>
          </w:tcPr>
          <w:p>
            <w:pPr>
              <w:spacing w:line="360" w:lineRule="auto"/>
              <w:rPr>
                <w:rFonts w:ascii="宋体" w:cs="宋体"/>
                <w:kern w:val="0"/>
                <w:sz w:val="24"/>
              </w:rPr>
            </w:pPr>
            <w:r>
              <w:rPr>
                <w:rFonts w:hint="eastAsia" w:ascii="宋体" w:hAnsi="宋体" w:cs="宋体"/>
                <w:kern w:val="0"/>
                <w:sz w:val="24"/>
              </w:rPr>
              <w:t>构成招标文件的其它材料</w:t>
            </w:r>
          </w:p>
        </w:tc>
        <w:tc>
          <w:tcPr>
            <w:tcW w:w="5801" w:type="dxa"/>
            <w:vAlign w:val="center"/>
          </w:tcPr>
          <w:p>
            <w:pPr>
              <w:spacing w:line="360" w:lineRule="auto"/>
              <w:rPr>
                <w:rFonts w:ascii="宋体" w:cs="宋体"/>
                <w:kern w:val="0"/>
                <w:sz w:val="24"/>
              </w:rPr>
            </w:pPr>
            <w:r>
              <w:rPr>
                <w:rFonts w:hint="eastAsia" w:ascii="宋体" w:hAnsi="宋体"/>
                <w:sz w:val="24"/>
              </w:rPr>
              <w:t>图纸、招标答疑、澄清、修改或补充（如有）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041" w:type="dxa"/>
            <w:vAlign w:val="center"/>
          </w:tcPr>
          <w:p>
            <w:pPr>
              <w:spacing w:line="360" w:lineRule="auto"/>
              <w:rPr>
                <w:rFonts w:ascii="宋体" w:cs="宋体"/>
                <w:sz w:val="24"/>
              </w:rPr>
            </w:pPr>
            <w:r>
              <w:rPr>
                <w:rFonts w:ascii="宋体" w:hAnsi="宋体" w:cs="宋体"/>
                <w:sz w:val="24"/>
              </w:rPr>
              <w:t>2.2.1</w:t>
            </w:r>
          </w:p>
        </w:tc>
        <w:tc>
          <w:tcPr>
            <w:tcW w:w="2693" w:type="dxa"/>
            <w:vAlign w:val="center"/>
          </w:tcPr>
          <w:p>
            <w:pPr>
              <w:spacing w:line="360" w:lineRule="auto"/>
              <w:rPr>
                <w:rFonts w:ascii="宋体" w:cs="宋体"/>
                <w:sz w:val="24"/>
              </w:rPr>
            </w:pPr>
            <w:r>
              <w:rPr>
                <w:rFonts w:hint="eastAsia" w:ascii="宋体" w:hAnsi="宋体" w:cs="宋体"/>
                <w:sz w:val="24"/>
              </w:rPr>
              <w:t>投标人要求澄清招标文件截止时间</w:t>
            </w:r>
          </w:p>
        </w:tc>
        <w:tc>
          <w:tcPr>
            <w:tcW w:w="5801" w:type="dxa"/>
            <w:vAlign w:val="center"/>
          </w:tcPr>
          <w:p>
            <w:pPr>
              <w:spacing w:line="360" w:lineRule="auto"/>
              <w:rPr>
                <w:rFonts w:ascii="宋体" w:cs="宋体"/>
                <w:sz w:val="24"/>
              </w:rPr>
            </w:pPr>
            <w:r>
              <w:rPr>
                <w:rFonts w:ascii="宋体" w:hAnsi="宋体" w:cs="宋体"/>
                <w:sz w:val="24"/>
                <w:u w:val="single"/>
              </w:rPr>
              <w:t>20</w:t>
            </w:r>
            <w:r>
              <w:rPr>
                <w:rFonts w:hint="eastAsia" w:ascii="宋体" w:hAnsi="宋体" w:cs="宋体"/>
                <w:sz w:val="24"/>
                <w:u w:val="single"/>
              </w:rPr>
              <w:t>2</w:t>
            </w:r>
            <w:r>
              <w:rPr>
                <w:rFonts w:ascii="宋体" w:hAnsi="宋体" w:cs="宋体"/>
                <w:sz w:val="24"/>
                <w:u w:val="single"/>
              </w:rPr>
              <w:t>4</w:t>
            </w:r>
            <w:r>
              <w:rPr>
                <w:rFonts w:hint="eastAsia" w:ascii="宋体" w:hAnsi="宋体" w:cs="宋体"/>
                <w:sz w:val="24"/>
              </w:rPr>
              <w:t>年</w:t>
            </w:r>
            <w:r>
              <w:rPr>
                <w:rFonts w:hint="eastAsia" w:ascii="宋体" w:hAnsi="宋体" w:cs="宋体"/>
                <w:sz w:val="24"/>
                <w:u w:val="single"/>
              </w:rPr>
              <w:t>4</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u w:val="single"/>
                <w:lang w:val="en-US" w:eastAsia="zh-CN"/>
              </w:rPr>
              <w:t>21</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24"/>
                <w:u w:val="single"/>
              </w:rPr>
              <w:t xml:space="preserve"> 17</w:t>
            </w:r>
            <w:r>
              <w:rPr>
                <w:rFonts w:hint="eastAsia" w:ascii="宋体" w:hAnsi="宋体" w:cs="宋体"/>
                <w:sz w:val="24"/>
              </w:rPr>
              <w:t>时</w:t>
            </w:r>
            <w:r>
              <w:rPr>
                <w:rFonts w:hint="eastAsia" w:ascii="宋体" w:hAnsi="宋体" w:cs="宋体"/>
                <w:sz w:val="24"/>
                <w:u w:val="single"/>
              </w:rPr>
              <w:t xml:space="preserve"> </w:t>
            </w:r>
            <w:r>
              <w:rPr>
                <w:rFonts w:ascii="宋体" w:hAnsi="宋体" w:cs="宋体"/>
                <w:sz w:val="24"/>
                <w:u w:val="single"/>
              </w:rPr>
              <w:t xml:space="preserve">00 </w:t>
            </w:r>
            <w:r>
              <w:rPr>
                <w:rFonts w:hint="eastAsia" w:ascii="宋体" w:hAnsi="宋体" w:cs="宋体"/>
                <w:sz w:val="24"/>
              </w:rPr>
              <w:t>分前（北京时间）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041" w:type="dxa"/>
            <w:vAlign w:val="center"/>
          </w:tcPr>
          <w:p>
            <w:pPr>
              <w:adjustRightInd w:val="0"/>
              <w:snapToGrid w:val="0"/>
              <w:spacing w:line="400" w:lineRule="exact"/>
              <w:jc w:val="center"/>
              <w:rPr>
                <w:rFonts w:ascii="宋体" w:hAnsi="宋体" w:cs="宋体"/>
                <w:sz w:val="24"/>
              </w:rPr>
            </w:pPr>
            <w:r>
              <w:rPr>
                <w:rFonts w:hint="eastAsia" w:ascii="宋体" w:hAnsi="宋体" w:cs="宋体"/>
                <w:sz w:val="24"/>
              </w:rPr>
              <w:t>2.2.2</w:t>
            </w:r>
          </w:p>
        </w:tc>
        <w:tc>
          <w:tcPr>
            <w:tcW w:w="2693" w:type="dxa"/>
            <w:vAlign w:val="center"/>
          </w:tcPr>
          <w:p>
            <w:pPr>
              <w:adjustRightInd w:val="0"/>
              <w:snapToGrid w:val="0"/>
              <w:spacing w:line="400" w:lineRule="exact"/>
              <w:rPr>
                <w:rFonts w:ascii="宋体" w:hAnsi="宋体" w:cs="宋体"/>
                <w:sz w:val="24"/>
              </w:rPr>
            </w:pPr>
            <w:r>
              <w:rPr>
                <w:rFonts w:hint="eastAsia" w:ascii="宋体" w:hAnsi="宋体" w:cs="宋体"/>
                <w:sz w:val="24"/>
              </w:rPr>
              <w:t>招标文件澄清发布时间</w:t>
            </w:r>
          </w:p>
        </w:tc>
        <w:tc>
          <w:tcPr>
            <w:tcW w:w="5801" w:type="dxa"/>
            <w:vAlign w:val="center"/>
          </w:tcPr>
          <w:p>
            <w:pPr>
              <w:adjustRightInd w:val="0"/>
              <w:snapToGrid w:val="0"/>
              <w:spacing w:line="400" w:lineRule="exact"/>
              <w:rPr>
                <w:rFonts w:ascii="宋体" w:hAnsi="宋体" w:cs="宋体"/>
                <w:sz w:val="24"/>
              </w:rPr>
            </w:pPr>
            <w:r>
              <w:rPr>
                <w:rFonts w:hint="eastAsia" w:ascii="宋体" w:hAnsi="宋体" w:cs="宋体"/>
                <w:sz w:val="24"/>
                <w:u w:val="single"/>
              </w:rPr>
              <w:t>202</w:t>
            </w:r>
            <w:r>
              <w:rPr>
                <w:rFonts w:ascii="宋体" w:hAnsi="宋体" w:cs="宋体"/>
                <w:sz w:val="24"/>
                <w:u w:val="single"/>
              </w:rPr>
              <w:t>4</w:t>
            </w:r>
            <w:r>
              <w:rPr>
                <w:rFonts w:hint="eastAsia" w:ascii="宋体" w:hAnsi="宋体" w:cs="宋体"/>
                <w:sz w:val="24"/>
              </w:rPr>
              <w:t>年</w:t>
            </w:r>
            <w:r>
              <w:rPr>
                <w:rFonts w:hint="eastAsia" w:ascii="宋体" w:hAnsi="宋体" w:cs="宋体"/>
                <w:sz w:val="24"/>
                <w:u w:val="single"/>
              </w:rPr>
              <w:t>4</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u w:val="single"/>
                <w:lang w:val="en-US" w:eastAsia="zh-CN"/>
              </w:rPr>
              <w:t>21</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24"/>
                <w:u w:val="single"/>
              </w:rPr>
              <w:t xml:space="preserve"> 1</w:t>
            </w:r>
            <w:r>
              <w:rPr>
                <w:rFonts w:hint="eastAsia" w:ascii="宋体" w:hAnsi="宋体" w:cs="宋体"/>
                <w:sz w:val="24"/>
                <w:u w:val="single"/>
                <w:lang w:val="en-US" w:eastAsia="zh-CN"/>
              </w:rPr>
              <w:t>7</w:t>
            </w:r>
            <w:r>
              <w:rPr>
                <w:rFonts w:hint="eastAsia" w:ascii="宋体" w:hAnsi="宋体" w:cs="宋体"/>
                <w:sz w:val="24"/>
              </w:rPr>
              <w:t>时</w:t>
            </w:r>
            <w:r>
              <w:rPr>
                <w:rFonts w:hint="eastAsia" w:ascii="宋体" w:hAnsi="宋体" w:cs="宋体"/>
                <w:sz w:val="24"/>
                <w:u w:val="single"/>
              </w:rPr>
              <w:t xml:space="preserve"> </w:t>
            </w:r>
            <w:r>
              <w:rPr>
                <w:rFonts w:ascii="宋体" w:hAnsi="宋体" w:cs="宋体"/>
                <w:sz w:val="24"/>
                <w:u w:val="single"/>
              </w:rPr>
              <w:t xml:space="preserve">00 </w:t>
            </w:r>
            <w:r>
              <w:rPr>
                <w:rFonts w:hint="eastAsia" w:ascii="宋体" w:hAnsi="宋体" w:cs="宋体"/>
                <w:sz w:val="24"/>
              </w:rPr>
              <w:t>分后（北京时间）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041" w:type="dxa"/>
            <w:vAlign w:val="center"/>
          </w:tcPr>
          <w:p>
            <w:pPr>
              <w:spacing w:line="360" w:lineRule="auto"/>
              <w:jc w:val="center"/>
              <w:rPr>
                <w:rFonts w:ascii="宋体" w:cs="宋体"/>
                <w:sz w:val="24"/>
              </w:rPr>
            </w:pPr>
            <w:r>
              <w:rPr>
                <w:rFonts w:ascii="宋体" w:hAnsi="宋体" w:cs="宋体"/>
                <w:sz w:val="24"/>
              </w:rPr>
              <w:t>3.1.1</w:t>
            </w:r>
          </w:p>
        </w:tc>
        <w:tc>
          <w:tcPr>
            <w:tcW w:w="2693" w:type="dxa"/>
            <w:vAlign w:val="center"/>
          </w:tcPr>
          <w:p>
            <w:pPr>
              <w:spacing w:line="360" w:lineRule="auto"/>
              <w:rPr>
                <w:rFonts w:ascii="宋体" w:cs="宋体"/>
                <w:sz w:val="24"/>
              </w:rPr>
            </w:pPr>
            <w:r>
              <w:rPr>
                <w:rFonts w:hint="eastAsia" w:ascii="宋体" w:hAnsi="宋体" w:cs="宋体"/>
                <w:sz w:val="24"/>
              </w:rPr>
              <w:t>投标文件的组成</w:t>
            </w:r>
          </w:p>
        </w:tc>
        <w:tc>
          <w:tcPr>
            <w:tcW w:w="5801" w:type="dxa"/>
            <w:vAlign w:val="center"/>
          </w:tcPr>
          <w:p>
            <w:pPr>
              <w:shd w:val="clear" w:color="auto" w:fill="FFFFFF"/>
              <w:autoSpaceDE w:val="0"/>
              <w:autoSpaceDN w:val="0"/>
              <w:adjustRightInd w:val="0"/>
              <w:snapToGrid w:val="0"/>
              <w:spacing w:line="360" w:lineRule="auto"/>
              <w:jc w:val="left"/>
              <w:rPr>
                <w:rFonts w:ascii="宋体" w:hAnsi="宋体" w:cs="宋体"/>
                <w:sz w:val="24"/>
              </w:rPr>
            </w:pPr>
            <w:r>
              <w:rPr>
                <w:rFonts w:hint="eastAsia" w:ascii="宋体" w:hAnsi="宋体"/>
                <w:sz w:val="24"/>
              </w:rPr>
              <w:t>本工程投标文件由</w:t>
            </w:r>
            <w:r>
              <w:rPr>
                <w:rFonts w:hint="eastAsia" w:ascii="宋体" w:hAnsi="宋体"/>
                <w:sz w:val="24"/>
                <w:u w:val="single"/>
              </w:rPr>
              <w:t>纸质投标文件、电子备份文件</w:t>
            </w:r>
            <w:r>
              <w:rPr>
                <w:rFonts w:hint="eastAsia" w:ascii="宋体" w:hAnsi="宋体"/>
                <w:sz w:val="24"/>
                <w:u w:val="single"/>
                <w:lang w:eastAsia="zh-CN"/>
              </w:rPr>
              <w:t>、</w:t>
            </w:r>
            <w:r>
              <w:rPr>
                <w:rFonts w:hint="eastAsia" w:ascii="宋体" w:hAnsi="宋体"/>
                <w:sz w:val="24"/>
                <w:u w:val="single"/>
                <w:lang w:val="en-US" w:eastAsia="zh-CN"/>
              </w:rPr>
              <w:t>样品</w:t>
            </w:r>
            <w:r>
              <w:rPr>
                <w:rFonts w:hint="eastAsia" w:ascii="宋体" w:hAnsi="宋体"/>
                <w:sz w:val="24"/>
                <w:lang w:val="en-US" w:eastAsia="zh-CN"/>
              </w:rPr>
              <w:t>三</w:t>
            </w:r>
            <w:r>
              <w:rPr>
                <w:rFonts w:hint="eastAsia" w:ascii="宋体" w:hAnsi="宋体"/>
                <w:sz w:val="24"/>
              </w:rPr>
              <w:t>部分组成。</w:t>
            </w:r>
          </w:p>
          <w:p>
            <w:pPr>
              <w:shd w:val="clear" w:color="auto" w:fill="FFFFFF"/>
              <w:autoSpaceDE w:val="0"/>
              <w:autoSpaceDN w:val="0"/>
              <w:adjustRightInd w:val="0"/>
              <w:snapToGrid w:val="0"/>
              <w:spacing w:line="360" w:lineRule="auto"/>
              <w:jc w:val="left"/>
              <w:rPr>
                <w:rFonts w:ascii="宋体" w:hAnsi="宋体" w:cs="宋体"/>
                <w:sz w:val="24"/>
              </w:rPr>
            </w:pPr>
            <w:r>
              <w:rPr>
                <w:rFonts w:hint="eastAsia" w:ascii="宋体" w:hAnsi="宋体" w:cs="宋体"/>
                <w:sz w:val="24"/>
              </w:rPr>
              <w:t>一、纸质投标文件</w:t>
            </w:r>
          </w:p>
          <w:p>
            <w:pPr>
              <w:shd w:val="clear" w:color="auto" w:fill="FFFFFF"/>
              <w:autoSpaceDE w:val="0"/>
              <w:autoSpaceDN w:val="0"/>
              <w:adjustRightInd w:val="0"/>
              <w:snapToGrid w:val="0"/>
              <w:spacing w:line="360" w:lineRule="auto"/>
              <w:rPr>
                <w:rFonts w:ascii="宋体" w:hAnsi="宋体" w:cs="宋体"/>
                <w:sz w:val="24"/>
              </w:rPr>
            </w:pPr>
            <w:r>
              <w:rPr>
                <w:rFonts w:hint="eastAsia" w:ascii="宋体" w:hAnsi="宋体" w:cs="宋体"/>
                <w:sz w:val="24"/>
              </w:rPr>
              <w:t>1、资格审查资料，包括以下内容：</w:t>
            </w:r>
          </w:p>
          <w:p>
            <w:pPr>
              <w:shd w:val="clear" w:color="auto" w:fill="FFFFFF"/>
              <w:autoSpaceDE w:val="0"/>
              <w:autoSpaceDN w:val="0"/>
              <w:adjustRightInd w:val="0"/>
              <w:snapToGrid w:val="0"/>
              <w:spacing w:line="360" w:lineRule="auto"/>
              <w:rPr>
                <w:rFonts w:ascii="宋体" w:hAnsi="宋体" w:cs="宋体"/>
                <w:sz w:val="24"/>
              </w:rPr>
            </w:pPr>
            <w:r>
              <w:rPr>
                <w:rFonts w:hint="eastAsia" w:ascii="宋体" w:hAnsi="宋体" w:cs="宋体"/>
                <w:sz w:val="24"/>
              </w:rPr>
              <w:t>（1）法定代表人身份证明书（格式详见招标文件第六章）；</w:t>
            </w:r>
          </w:p>
          <w:p>
            <w:pPr>
              <w:shd w:val="clear" w:color="auto" w:fill="FFFFFF"/>
              <w:autoSpaceDE w:val="0"/>
              <w:autoSpaceDN w:val="0"/>
              <w:adjustRightInd w:val="0"/>
              <w:snapToGrid w:val="0"/>
              <w:spacing w:line="360" w:lineRule="auto"/>
              <w:rPr>
                <w:rFonts w:ascii="宋体" w:hAnsi="宋体" w:cs="宋体"/>
                <w:sz w:val="24"/>
              </w:rPr>
            </w:pPr>
            <w:r>
              <w:rPr>
                <w:rFonts w:hint="eastAsia" w:ascii="宋体" w:hAnsi="宋体" w:cs="宋体"/>
                <w:sz w:val="24"/>
              </w:rPr>
              <w:t>（2）授权委托书（如有，格式详见招标文件第六章）；</w:t>
            </w:r>
          </w:p>
          <w:p>
            <w:pPr>
              <w:shd w:val="clear" w:color="auto" w:fill="FFFFFF"/>
              <w:autoSpaceDE w:val="0"/>
              <w:autoSpaceDN w:val="0"/>
              <w:adjustRightInd w:val="0"/>
              <w:snapToGrid w:val="0"/>
              <w:spacing w:line="360" w:lineRule="auto"/>
              <w:rPr>
                <w:rFonts w:ascii="宋体" w:hAnsi="宋体" w:cs="宋体"/>
                <w:sz w:val="24"/>
              </w:rPr>
            </w:pPr>
            <w:r>
              <w:rPr>
                <w:rFonts w:hint="eastAsia" w:ascii="宋体" w:hAnsi="宋体" w:cs="宋体"/>
                <w:sz w:val="24"/>
              </w:rPr>
              <w:t xml:space="preserve">（3）有效的企业营业执照； </w:t>
            </w:r>
          </w:p>
          <w:p>
            <w:pPr>
              <w:shd w:val="clear" w:color="auto" w:fill="FFFFFF"/>
              <w:autoSpaceDE w:val="0"/>
              <w:autoSpaceDN w:val="0"/>
              <w:adjustRightInd w:val="0"/>
              <w:snapToGrid w:val="0"/>
              <w:spacing w:line="360" w:lineRule="auto"/>
              <w:rPr>
                <w:rFonts w:ascii="宋体" w:hAnsi="宋体" w:cs="宋体"/>
                <w:sz w:val="24"/>
              </w:rPr>
            </w:pPr>
            <w:r>
              <w:rPr>
                <w:rFonts w:hint="eastAsia" w:ascii="宋体" w:hAnsi="宋体" w:cs="宋体"/>
                <w:sz w:val="24"/>
              </w:rPr>
              <w:t>（4）无不良记录承诺书（格式详见招标文件第六章）。</w:t>
            </w:r>
          </w:p>
          <w:p>
            <w:pPr>
              <w:shd w:val="clear" w:color="auto" w:fill="FFFFFF"/>
              <w:autoSpaceDE w:val="0"/>
              <w:autoSpaceDN w:val="0"/>
              <w:adjustRightInd w:val="0"/>
              <w:snapToGrid w:val="0"/>
              <w:spacing w:line="360" w:lineRule="auto"/>
              <w:rPr>
                <w:rFonts w:ascii="宋体" w:hAnsi="宋体" w:cs="宋体"/>
                <w:sz w:val="24"/>
              </w:rPr>
            </w:pPr>
            <w:r>
              <w:rPr>
                <w:rFonts w:hint="eastAsia" w:ascii="宋体" w:hAnsi="宋体" w:cs="宋体"/>
                <w:sz w:val="24"/>
              </w:rPr>
              <w:t>未尽之处具体详见第三章“评标办法”</w:t>
            </w:r>
          </w:p>
          <w:p>
            <w:pPr>
              <w:snapToGrid w:val="0"/>
              <w:spacing w:line="360" w:lineRule="auto"/>
              <w:rPr>
                <w:rFonts w:ascii="宋体" w:hAnsi="宋体" w:cs="宋体"/>
                <w:sz w:val="24"/>
              </w:rPr>
            </w:pPr>
            <w:r>
              <w:rPr>
                <w:rFonts w:hint="eastAsia" w:ascii="宋体" w:hAnsi="宋体" w:cs="宋体"/>
                <w:sz w:val="24"/>
              </w:rPr>
              <w:t>2、商务技术标，包括以下内容：</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）关键技术参数要求响应表（格式详见招标文件第六章）；</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）商务技术评分标准中须提供的相关得分材料（投标人按评标办法中所涉及的事项顺序进行编制，同时提供目录）；</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）承诺书（格式详见招标文件第六章）；</w:t>
            </w:r>
          </w:p>
          <w:p>
            <w:pPr>
              <w:snapToGrid w:val="0"/>
              <w:spacing w:line="360" w:lineRule="auto"/>
              <w:rPr>
                <w:rFonts w:ascii="宋体" w:hAnsi="宋体" w:cs="宋体"/>
                <w:color w:val="000000"/>
                <w:kern w:val="0"/>
                <w:sz w:val="24"/>
              </w:rPr>
            </w:pPr>
            <w:r>
              <w:rPr>
                <w:rFonts w:hint="eastAsia" w:ascii="宋体" w:hAnsi="宋体" w:cs="宋体"/>
                <w:sz w:val="24"/>
              </w:rPr>
              <w:t>（</w:t>
            </w:r>
            <w:r>
              <w:rPr>
                <w:rFonts w:ascii="宋体" w:hAnsi="宋体" w:cs="宋体"/>
                <w:sz w:val="24"/>
              </w:rPr>
              <w:t>4</w:t>
            </w:r>
            <w:r>
              <w:rPr>
                <w:rFonts w:hint="eastAsia" w:ascii="宋体" w:hAnsi="宋体" w:cs="宋体"/>
                <w:sz w:val="24"/>
              </w:rPr>
              <w:t>）投标人认为需要提交的其他商务技术材料。</w:t>
            </w:r>
          </w:p>
          <w:p>
            <w:pPr>
              <w:snapToGrid w:val="0"/>
              <w:spacing w:line="360" w:lineRule="auto"/>
              <w:rPr>
                <w:rFonts w:ascii="宋体" w:hAnsi="宋体" w:cs="宋体"/>
                <w:sz w:val="24"/>
              </w:rPr>
            </w:pPr>
            <w:r>
              <w:rPr>
                <w:rFonts w:hint="eastAsia" w:ascii="宋体" w:hAnsi="宋体" w:cs="宋体"/>
                <w:sz w:val="24"/>
              </w:rPr>
              <w:t>未尽之处具体详见第三章“评标办法”</w:t>
            </w:r>
          </w:p>
          <w:p>
            <w:pPr>
              <w:snapToGrid w:val="0"/>
              <w:spacing w:line="360" w:lineRule="auto"/>
              <w:rPr>
                <w:rFonts w:ascii="宋体" w:hAnsi="宋体" w:cs="宋体"/>
                <w:sz w:val="24"/>
              </w:rPr>
            </w:pPr>
            <w:r>
              <w:rPr>
                <w:rFonts w:hint="eastAsia" w:ascii="宋体" w:hAnsi="宋体" w:cs="宋体"/>
                <w:sz w:val="24"/>
              </w:rPr>
              <w:t>3、投标报价，包括以下内容：</w:t>
            </w:r>
          </w:p>
          <w:p>
            <w:pPr>
              <w:shd w:val="clear" w:color="auto" w:fill="FFFFFF"/>
              <w:autoSpaceDE w:val="0"/>
              <w:autoSpaceDN w:val="0"/>
              <w:adjustRightInd w:val="0"/>
              <w:snapToGrid w:val="0"/>
              <w:spacing w:line="360" w:lineRule="auto"/>
              <w:rPr>
                <w:rFonts w:ascii="宋体" w:hAnsi="宋体" w:cs="宋体"/>
                <w:sz w:val="24"/>
              </w:rPr>
            </w:pPr>
            <w:r>
              <w:rPr>
                <w:rFonts w:hint="eastAsia" w:ascii="宋体" w:hAnsi="宋体" w:cs="宋体"/>
                <w:sz w:val="24"/>
              </w:rPr>
              <w:t>（1）投标函（格式详见招标文件第六章）；</w:t>
            </w:r>
          </w:p>
          <w:p>
            <w:pPr>
              <w:shd w:val="clear" w:color="auto" w:fill="FFFFFF"/>
              <w:autoSpaceDE w:val="0"/>
              <w:autoSpaceDN w:val="0"/>
              <w:adjustRightInd w:val="0"/>
              <w:snapToGrid w:val="0"/>
              <w:spacing w:line="360" w:lineRule="auto"/>
              <w:rPr>
                <w:rFonts w:ascii="宋体" w:hAnsi="宋体" w:cs="宋体"/>
                <w:sz w:val="24"/>
              </w:rPr>
            </w:pPr>
            <w:r>
              <w:rPr>
                <w:rFonts w:hint="eastAsia" w:ascii="宋体" w:hAnsi="宋体" w:cs="宋体"/>
                <w:sz w:val="24"/>
              </w:rPr>
              <w:t>（2）投标报价表（格式详见招标文件第六章）。</w:t>
            </w:r>
          </w:p>
          <w:p>
            <w:pPr>
              <w:shd w:val="clear" w:color="auto" w:fill="FFFFFF"/>
              <w:autoSpaceDE w:val="0"/>
              <w:autoSpaceDN w:val="0"/>
              <w:adjustRightInd w:val="0"/>
              <w:snapToGrid w:val="0"/>
              <w:spacing w:line="360" w:lineRule="auto"/>
              <w:jc w:val="left"/>
              <w:rPr>
                <w:rFonts w:ascii="宋体" w:hAnsi="宋体" w:cs="宋体"/>
                <w:sz w:val="24"/>
              </w:rPr>
            </w:pPr>
            <w:r>
              <w:rPr>
                <w:rFonts w:hint="eastAsia" w:ascii="宋体" w:hAnsi="宋体" w:cs="宋体"/>
                <w:sz w:val="24"/>
              </w:rPr>
              <w:t>二、电子备份文件（U盘）</w:t>
            </w:r>
          </w:p>
          <w:p>
            <w:pPr>
              <w:shd w:val="clear" w:color="auto" w:fill="FFFFFF"/>
              <w:autoSpaceDE w:val="0"/>
              <w:autoSpaceDN w:val="0"/>
              <w:adjustRightInd w:val="0"/>
              <w:snapToGrid w:val="0"/>
              <w:spacing w:line="360" w:lineRule="auto"/>
              <w:jc w:val="left"/>
              <w:rPr>
                <w:rFonts w:ascii="宋体" w:hAnsi="宋体" w:cs="宋体"/>
                <w:sz w:val="24"/>
              </w:rPr>
            </w:pPr>
            <w:r>
              <w:rPr>
                <w:rFonts w:hint="eastAsia" w:ascii="宋体" w:hAnsi="宋体" w:cs="宋体"/>
                <w:sz w:val="24"/>
              </w:rPr>
              <w:t>1、纸质投标文件盖章后原件扫描件。</w:t>
            </w:r>
          </w:p>
          <w:p>
            <w:pPr>
              <w:pStyle w:val="49"/>
              <w:ind w:firstLine="0" w:firstLineChars="0"/>
              <w:rPr>
                <w:rFonts w:ascii="宋体" w:hAnsi="宋体" w:eastAsia="宋体" w:cs="宋体"/>
                <w:b w:val="0"/>
                <w:bCs w:val="0"/>
                <w:kern w:val="2"/>
                <w:sz w:val="24"/>
              </w:rPr>
            </w:pPr>
            <w:r>
              <w:rPr>
                <w:rFonts w:hint="eastAsia" w:ascii="宋体" w:hAnsi="宋体" w:eastAsia="宋体" w:cs="宋体"/>
                <w:b w:val="0"/>
                <w:bCs w:val="0"/>
                <w:kern w:val="2"/>
                <w:sz w:val="24"/>
              </w:rPr>
              <w:t>三、样品（暗标）</w:t>
            </w:r>
          </w:p>
          <w:p>
            <w:pPr>
              <w:shd w:val="clear" w:color="auto" w:fill="FFFFFF"/>
              <w:autoSpaceDE w:val="0"/>
              <w:autoSpaceDN w:val="0"/>
              <w:adjustRightInd w:val="0"/>
              <w:snapToGrid w:val="0"/>
              <w:spacing w:line="360" w:lineRule="auto"/>
              <w:jc w:val="left"/>
              <w:rPr>
                <w:rFonts w:ascii="宋体" w:hAnsi="宋体" w:cs="宋体"/>
                <w:sz w:val="24"/>
              </w:rPr>
            </w:pPr>
            <w:r>
              <w:rPr>
                <w:rFonts w:hint="eastAsia" w:ascii="宋体" w:hAnsi="宋体" w:cs="宋体"/>
                <w:sz w:val="24"/>
              </w:rPr>
              <w:t xml:space="preserve">按招标文件要求提交样品①交流充电桩、②安装立柱各一件，其中交流充电桩样品须能拆除外壳固定螺栓，可打开查看内部元气件，具体要求详见清单和施工图纸。 </w:t>
            </w:r>
          </w:p>
          <w:p>
            <w:pPr>
              <w:shd w:val="clear" w:color="auto" w:fill="FFFFFF"/>
              <w:autoSpaceDE w:val="0"/>
              <w:autoSpaceDN w:val="0"/>
              <w:adjustRightInd w:val="0"/>
              <w:snapToGrid w:val="0"/>
              <w:spacing w:line="360" w:lineRule="auto"/>
              <w:jc w:val="left"/>
              <w:rPr>
                <w:rFonts w:hint="eastAsia" w:ascii="宋体" w:hAnsi="宋体" w:cs="宋体"/>
                <w:sz w:val="24"/>
              </w:rPr>
            </w:pPr>
            <w:r>
              <w:rPr>
                <w:rFonts w:hint="eastAsia" w:ascii="宋体" w:hAnsi="宋体" w:cs="宋体"/>
                <w:b/>
                <w:bCs/>
                <w:sz w:val="24"/>
              </w:rPr>
              <w:t>（1）</w:t>
            </w:r>
            <w:r>
              <w:rPr>
                <w:rFonts w:hint="eastAsia" w:ascii="宋体" w:hAnsi="宋体" w:cs="宋体"/>
                <w:b/>
                <w:bCs/>
                <w:kern w:val="0"/>
                <w:sz w:val="24"/>
                <w:lang w:val="en-US" w:eastAsia="zh-CN"/>
              </w:rPr>
              <w:t>样品递交截止时间</w:t>
            </w:r>
            <w:r>
              <w:rPr>
                <w:rFonts w:hint="eastAsia" w:ascii="宋体" w:hAnsi="宋体" w:cs="宋体"/>
                <w:b/>
                <w:bCs/>
                <w:kern w:val="0"/>
                <w:sz w:val="24"/>
                <w:u w:val="single"/>
              </w:rPr>
              <w:t>202</w:t>
            </w:r>
            <w:r>
              <w:rPr>
                <w:rFonts w:ascii="宋体" w:hAnsi="宋体" w:cs="宋体"/>
                <w:b/>
                <w:bCs/>
                <w:kern w:val="0"/>
                <w:sz w:val="24"/>
                <w:u w:val="single"/>
              </w:rPr>
              <w:t>4</w:t>
            </w:r>
            <w:r>
              <w:rPr>
                <w:rFonts w:hint="eastAsia" w:ascii="宋体" w:hAnsi="宋体" w:cs="宋体"/>
                <w:b/>
                <w:bCs/>
                <w:kern w:val="0"/>
                <w:sz w:val="24"/>
                <w:u w:val="single"/>
              </w:rPr>
              <w:t>年</w:t>
            </w:r>
            <w:r>
              <w:rPr>
                <w:rFonts w:hint="eastAsia" w:ascii="宋体" w:hAnsi="宋体" w:cs="宋体"/>
                <w:b/>
                <w:bCs/>
                <w:kern w:val="0"/>
                <w:sz w:val="24"/>
                <w:u w:val="single"/>
                <w:lang w:val="en-US" w:eastAsia="zh-CN"/>
              </w:rPr>
              <w:t>5</w:t>
            </w:r>
            <w:r>
              <w:rPr>
                <w:rFonts w:hint="eastAsia" w:ascii="宋体" w:hAnsi="宋体" w:cs="宋体"/>
                <w:b/>
                <w:bCs/>
                <w:kern w:val="0"/>
                <w:sz w:val="24"/>
                <w:u w:val="single"/>
              </w:rPr>
              <w:t>月</w:t>
            </w:r>
            <w:r>
              <w:rPr>
                <w:rFonts w:hint="eastAsia" w:ascii="宋体" w:hAnsi="宋体" w:cs="宋体"/>
                <w:b/>
                <w:bCs/>
                <w:kern w:val="0"/>
                <w:sz w:val="24"/>
                <w:u w:val="single"/>
                <w:lang w:val="en-US" w:eastAsia="zh-CN"/>
              </w:rPr>
              <w:t>7</w:t>
            </w:r>
            <w:r>
              <w:rPr>
                <w:rFonts w:hint="eastAsia" w:ascii="宋体" w:hAnsi="宋体" w:cs="宋体"/>
                <w:b/>
                <w:bCs/>
                <w:kern w:val="0"/>
                <w:sz w:val="24"/>
                <w:u w:val="single"/>
              </w:rPr>
              <w:t>日1</w:t>
            </w:r>
            <w:r>
              <w:rPr>
                <w:rFonts w:hint="eastAsia" w:ascii="宋体" w:hAnsi="宋体" w:cs="宋体"/>
                <w:b/>
                <w:bCs/>
                <w:kern w:val="0"/>
                <w:sz w:val="24"/>
                <w:u w:val="single"/>
                <w:lang w:val="en-US" w:eastAsia="zh-CN"/>
              </w:rPr>
              <w:t>7</w:t>
            </w:r>
            <w:r>
              <w:rPr>
                <w:rFonts w:hint="eastAsia" w:ascii="宋体" w:hAnsi="宋体" w:cs="宋体"/>
                <w:b/>
                <w:bCs/>
                <w:kern w:val="0"/>
                <w:sz w:val="24"/>
                <w:u w:val="single"/>
              </w:rPr>
              <w:t>时00分（北京时间）</w:t>
            </w:r>
            <w:r>
              <w:rPr>
                <w:rFonts w:hint="eastAsia" w:ascii="宋体" w:hAnsi="宋体" w:cs="宋体"/>
                <w:b/>
                <w:bCs/>
                <w:kern w:val="0"/>
                <w:sz w:val="24"/>
                <w:u w:val="none"/>
                <w:lang w:eastAsia="zh-CN"/>
              </w:rPr>
              <w:t>。</w:t>
            </w:r>
          </w:p>
          <w:p>
            <w:pPr>
              <w:shd w:val="clear" w:color="auto" w:fill="FFFFFF"/>
              <w:autoSpaceDE w:val="0"/>
              <w:autoSpaceDN w:val="0"/>
              <w:adjustRightInd w:val="0"/>
              <w:snapToGrid w:val="0"/>
              <w:spacing w:line="360" w:lineRule="auto"/>
              <w:jc w:val="left"/>
              <w:rPr>
                <w:rFonts w:hint="eastAsia" w:ascii="宋体" w:hAnsi="宋体" w:cs="宋体"/>
                <w:b/>
                <w:bCs/>
                <w:kern w:val="0"/>
                <w:sz w:val="24"/>
                <w:u w:val="single"/>
              </w:rPr>
            </w:pPr>
            <w:r>
              <w:rPr>
                <w:rFonts w:hint="eastAsia" w:ascii="宋体" w:hAnsi="宋体" w:cs="宋体"/>
                <w:b/>
                <w:bCs/>
                <w:kern w:val="0"/>
                <w:sz w:val="24"/>
                <w:lang w:val="en-US" w:eastAsia="zh-CN"/>
              </w:rPr>
              <w:t>（2）样品</w:t>
            </w:r>
            <w:r>
              <w:rPr>
                <w:rFonts w:hint="eastAsia" w:ascii="宋体" w:hAnsi="宋体" w:cs="宋体"/>
                <w:b/>
                <w:bCs/>
                <w:kern w:val="0"/>
                <w:sz w:val="24"/>
              </w:rPr>
              <w:t>递交地点：</w:t>
            </w:r>
            <w:r>
              <w:rPr>
                <w:rFonts w:ascii="宋体" w:hAnsi="宋体" w:cs="宋体"/>
                <w:b/>
                <w:bCs/>
                <w:kern w:val="0"/>
                <w:sz w:val="24"/>
                <w:u w:val="single"/>
              </w:rPr>
              <w:t>南通市崇川区江海大道555号鸿鸣摩尔1幢13层</w:t>
            </w:r>
            <w:r>
              <w:rPr>
                <w:rFonts w:hint="eastAsia" w:ascii="宋体" w:hAnsi="宋体" w:cs="宋体"/>
                <w:b/>
                <w:bCs/>
                <w:kern w:val="0"/>
                <w:sz w:val="24"/>
                <w:u w:val="single"/>
                <w:lang w:val="en-US" w:eastAsia="zh-CN"/>
              </w:rPr>
              <w:t>指定位置</w:t>
            </w:r>
            <w:r>
              <w:rPr>
                <w:rFonts w:hint="eastAsia" w:ascii="宋体" w:hAnsi="宋体" w:cs="宋体"/>
                <w:b/>
                <w:bCs/>
                <w:kern w:val="0"/>
                <w:sz w:val="24"/>
                <w:u w:val="single"/>
              </w:rPr>
              <w:t>，如有变动另行通知。</w:t>
            </w:r>
          </w:p>
          <w:p>
            <w:pPr>
              <w:shd w:val="clear" w:color="auto" w:fill="FFFFFF"/>
              <w:autoSpaceDE w:val="0"/>
              <w:autoSpaceDN w:val="0"/>
              <w:adjustRightInd w:val="0"/>
              <w:snapToGrid w:val="0"/>
              <w:spacing w:line="360" w:lineRule="auto"/>
              <w:jc w:val="left"/>
              <w:rPr>
                <w:rFonts w:hint="eastAsia" w:ascii="宋体" w:hAnsi="宋体" w:cs="宋体"/>
                <w:b/>
                <w:bCs/>
                <w:kern w:val="0"/>
                <w:sz w:val="24"/>
              </w:rPr>
            </w:pPr>
            <w:r>
              <w:rPr>
                <w:rFonts w:hint="eastAsia" w:ascii="宋体" w:hAnsi="宋体" w:cs="宋体"/>
                <w:b/>
                <w:bCs/>
                <w:kern w:val="0"/>
                <w:sz w:val="24"/>
                <w:u w:val="none"/>
                <w:lang w:eastAsia="zh-CN"/>
              </w:rPr>
              <w:t>（</w:t>
            </w:r>
            <w:r>
              <w:rPr>
                <w:rFonts w:hint="eastAsia" w:ascii="宋体" w:hAnsi="宋体" w:cs="宋体"/>
                <w:b/>
                <w:bCs/>
                <w:kern w:val="0"/>
                <w:sz w:val="24"/>
                <w:u w:val="none"/>
                <w:lang w:val="en-US" w:eastAsia="zh-CN"/>
              </w:rPr>
              <w:t>3</w:t>
            </w:r>
            <w:r>
              <w:rPr>
                <w:rFonts w:hint="eastAsia" w:ascii="宋体" w:hAnsi="宋体" w:cs="宋体"/>
                <w:b/>
                <w:bCs/>
                <w:kern w:val="0"/>
                <w:sz w:val="24"/>
                <w:u w:val="none"/>
                <w:lang w:eastAsia="zh-CN"/>
              </w:rPr>
              <w:t>）</w:t>
            </w:r>
            <w:r>
              <w:rPr>
                <w:rFonts w:hint="eastAsia" w:ascii="宋体" w:hAnsi="宋体" w:eastAsia="宋体" w:cs="宋体"/>
                <w:b/>
                <w:bCs/>
                <w:color w:val="000000"/>
                <w:sz w:val="24"/>
                <w:szCs w:val="24"/>
                <w:lang w:val="en-US" w:eastAsia="zh-CN"/>
              </w:rPr>
              <w:t>投标人在</w:t>
            </w:r>
            <w:r>
              <w:rPr>
                <w:rFonts w:hint="eastAsia" w:ascii="宋体" w:hAnsi="宋体" w:cs="宋体"/>
                <w:b/>
                <w:bCs/>
                <w:kern w:val="0"/>
                <w:sz w:val="24"/>
                <w:lang w:val="en-US" w:eastAsia="zh-CN"/>
              </w:rPr>
              <w:t>样品递交截止时间前</w:t>
            </w:r>
            <w:r>
              <w:rPr>
                <w:rFonts w:hint="eastAsia" w:ascii="宋体" w:hAnsi="宋体" w:eastAsia="宋体" w:cs="宋体"/>
                <w:b/>
                <w:bCs/>
                <w:color w:val="000000"/>
                <w:sz w:val="24"/>
                <w:szCs w:val="24"/>
                <w:lang w:val="en-US" w:eastAsia="zh-CN"/>
              </w:rPr>
              <w:t>携带授权委托书提供样品</w:t>
            </w:r>
            <w:r>
              <w:rPr>
                <w:rFonts w:hint="eastAsia" w:ascii="宋体" w:hAnsi="宋体" w:cs="宋体"/>
                <w:b/>
                <w:bCs/>
                <w:color w:val="000000"/>
                <w:sz w:val="24"/>
                <w:szCs w:val="24"/>
                <w:lang w:val="en-US" w:eastAsia="zh-CN"/>
              </w:rPr>
              <w:t>，并</w:t>
            </w:r>
            <w:r>
              <w:rPr>
                <w:rFonts w:hint="eastAsia" w:ascii="宋体" w:hAnsi="宋体" w:cs="宋体"/>
                <w:b/>
                <w:bCs/>
                <w:sz w:val="24"/>
              </w:rPr>
              <w:t>有序摆放整齐，</w:t>
            </w:r>
            <w:r>
              <w:rPr>
                <w:rFonts w:hint="eastAsia" w:ascii="宋体" w:hAnsi="宋体" w:cs="宋体"/>
                <w:b/>
                <w:bCs/>
                <w:kern w:val="0"/>
                <w:sz w:val="24"/>
              </w:rPr>
              <w:t>逾期送达或者未送达至指定地点的</w:t>
            </w:r>
            <w:r>
              <w:rPr>
                <w:rFonts w:hint="eastAsia" w:ascii="宋体" w:hAnsi="宋体" w:cs="宋体"/>
                <w:b/>
                <w:bCs/>
                <w:kern w:val="0"/>
                <w:sz w:val="24"/>
                <w:lang w:val="en-US" w:eastAsia="zh-CN"/>
              </w:rPr>
              <w:t>样品</w:t>
            </w:r>
            <w:r>
              <w:rPr>
                <w:rFonts w:hint="eastAsia" w:ascii="宋体" w:hAnsi="宋体" w:cs="宋体"/>
                <w:b/>
                <w:bCs/>
                <w:kern w:val="0"/>
                <w:sz w:val="24"/>
              </w:rPr>
              <w:t>，不予受理。</w:t>
            </w:r>
          </w:p>
          <w:p>
            <w:pPr>
              <w:shd w:val="clear" w:color="auto" w:fill="FFFFFF"/>
              <w:autoSpaceDE w:val="0"/>
              <w:autoSpaceDN w:val="0"/>
              <w:adjustRightInd w:val="0"/>
              <w:snapToGrid w:val="0"/>
              <w:spacing w:line="360" w:lineRule="auto"/>
              <w:jc w:val="left"/>
              <w:rPr>
                <w:rFonts w:ascii="宋体" w:hAnsi="宋体" w:cs="宋体"/>
                <w:b/>
                <w:bCs/>
                <w:sz w:val="24"/>
              </w:rPr>
            </w:pPr>
            <w:r>
              <w:rPr>
                <w:rFonts w:hint="eastAsia" w:ascii="宋体" w:hAnsi="宋体" w:cs="宋体"/>
                <w:b/>
                <w:bCs/>
                <w:sz w:val="24"/>
              </w:rPr>
              <w:t>（</w:t>
            </w:r>
            <w:r>
              <w:rPr>
                <w:rFonts w:hint="eastAsia" w:ascii="宋体" w:hAnsi="宋体" w:cs="宋体"/>
                <w:b/>
                <w:bCs/>
                <w:sz w:val="24"/>
                <w:lang w:val="en-US" w:eastAsia="zh-CN"/>
              </w:rPr>
              <w:t>4</w:t>
            </w:r>
            <w:r>
              <w:rPr>
                <w:rFonts w:hint="eastAsia" w:ascii="宋体" w:hAnsi="宋体" w:cs="宋体"/>
                <w:b/>
                <w:bCs/>
                <w:sz w:val="24"/>
              </w:rPr>
              <w:t>）</w:t>
            </w:r>
            <w:r>
              <w:rPr>
                <w:rFonts w:hint="eastAsia" w:ascii="宋体" w:hAnsi="宋体" w:cs="宋体"/>
                <w:b/>
                <w:bCs/>
                <w:sz w:val="24"/>
              </w:rPr>
              <w:t xml:space="preserve">所有提供的样品上均不得出现投标人的公司名称、标志、符号及商标标识等可能泄露投标人的信息，否则作废标处理。 </w:t>
            </w:r>
          </w:p>
          <w:p>
            <w:pPr>
              <w:shd w:val="clear" w:color="auto" w:fill="FFFFFF"/>
              <w:autoSpaceDE w:val="0"/>
              <w:autoSpaceDN w:val="0"/>
              <w:adjustRightInd w:val="0"/>
              <w:snapToGrid w:val="0"/>
              <w:spacing w:line="360" w:lineRule="auto"/>
              <w:jc w:val="left"/>
              <w:rPr>
                <w:rFonts w:ascii="宋体" w:hAnsi="宋体" w:cs="宋体"/>
                <w:b/>
                <w:bCs/>
                <w:sz w:val="24"/>
              </w:rPr>
            </w:pPr>
            <w:r>
              <w:rPr>
                <w:rFonts w:hint="eastAsia" w:ascii="宋体" w:hAnsi="宋体" w:cs="宋体"/>
                <w:b/>
                <w:bCs/>
                <w:sz w:val="24"/>
              </w:rPr>
              <w:t>（</w:t>
            </w:r>
            <w:r>
              <w:rPr>
                <w:rFonts w:hint="eastAsia" w:ascii="宋体" w:hAnsi="宋体" w:cs="宋体"/>
                <w:b/>
                <w:bCs/>
                <w:sz w:val="24"/>
                <w:lang w:val="en-US" w:eastAsia="zh-CN"/>
              </w:rPr>
              <w:t>5</w:t>
            </w:r>
            <w:r>
              <w:rPr>
                <w:rFonts w:hint="eastAsia" w:ascii="宋体" w:hAnsi="宋体" w:cs="宋体"/>
                <w:b/>
                <w:bCs/>
                <w:sz w:val="24"/>
              </w:rPr>
              <w:t>）</w:t>
            </w:r>
            <w:r>
              <w:rPr>
                <w:rFonts w:hint="eastAsia" w:ascii="宋体" w:hAnsi="宋体" w:cs="宋体"/>
                <w:b/>
                <w:bCs/>
                <w:sz w:val="24"/>
                <w:highlight w:val="none"/>
              </w:rPr>
              <w:t>评标结束后，</w:t>
            </w:r>
            <w:r>
              <w:rPr>
                <w:rFonts w:ascii="宋体" w:hAnsi="宋体" w:cs="宋体"/>
                <w:b/>
                <w:bCs/>
                <w:sz w:val="24"/>
                <w:highlight w:val="none"/>
              </w:rPr>
              <w:t>3</w:t>
            </w:r>
            <w:r>
              <w:rPr>
                <w:rFonts w:hint="eastAsia" w:ascii="宋体" w:hAnsi="宋体" w:cs="宋体"/>
                <w:b/>
                <w:bCs/>
                <w:sz w:val="24"/>
                <w:highlight w:val="none"/>
              </w:rPr>
              <w:t xml:space="preserve">名中标候选人的投标样品当场进行封样，由各投标人分别运送至招标人指定地点，待中标人确定后作为履约验收的标准；未中标人的投标样品自行拆除运回（未推荐为中标候选人的当天即可自行拆除运回，未确定为中标人的中标候选人的样品自中标人确定后即可自行拆除运回），费用自行承担。中标人样品在所有货物验收后，用于项目中。 </w:t>
            </w:r>
          </w:p>
          <w:p>
            <w:pPr>
              <w:shd w:val="clear" w:color="auto" w:fill="FFFFFF"/>
              <w:autoSpaceDE w:val="0"/>
              <w:autoSpaceDN w:val="0"/>
              <w:adjustRightInd w:val="0"/>
              <w:snapToGrid w:val="0"/>
              <w:spacing w:line="360" w:lineRule="auto"/>
              <w:jc w:val="left"/>
            </w:pPr>
            <w:r>
              <w:rPr>
                <w:rFonts w:hint="eastAsia" w:ascii="宋体" w:hAnsi="宋体" w:cs="宋体"/>
                <w:b/>
                <w:bCs/>
                <w:sz w:val="24"/>
              </w:rPr>
              <w:t>（</w:t>
            </w:r>
            <w:r>
              <w:rPr>
                <w:rFonts w:hint="eastAsia" w:ascii="宋体" w:hAnsi="宋体" w:cs="宋体"/>
                <w:b/>
                <w:bCs/>
                <w:sz w:val="24"/>
                <w:lang w:val="en-US" w:eastAsia="zh-CN"/>
              </w:rPr>
              <w:t>6</w:t>
            </w:r>
            <w:r>
              <w:rPr>
                <w:rFonts w:hint="eastAsia" w:ascii="宋体" w:hAnsi="宋体" w:cs="宋体"/>
                <w:b/>
                <w:bCs/>
                <w:sz w:val="24"/>
              </w:rPr>
              <w:t>）样品照片不得放入资格审查资料和商务技术标中，投标文件中如出现所提供的样品照片，则按否决投标处理。</w:t>
            </w:r>
            <w:r>
              <w:rPr>
                <w:rFonts w:hint="eastAsia"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1" w:type="dxa"/>
            <w:vAlign w:val="center"/>
          </w:tcPr>
          <w:p>
            <w:pPr>
              <w:spacing w:line="360" w:lineRule="auto"/>
              <w:jc w:val="center"/>
              <w:rPr>
                <w:rFonts w:ascii="宋体" w:cs="宋体"/>
                <w:sz w:val="24"/>
              </w:rPr>
            </w:pPr>
            <w:r>
              <w:rPr>
                <w:rFonts w:ascii="宋体" w:hAnsi="宋体" w:cs="宋体"/>
                <w:sz w:val="24"/>
              </w:rPr>
              <w:t>3.1.3</w:t>
            </w:r>
          </w:p>
        </w:tc>
        <w:tc>
          <w:tcPr>
            <w:tcW w:w="2693" w:type="dxa"/>
            <w:vAlign w:val="center"/>
          </w:tcPr>
          <w:p>
            <w:pPr>
              <w:spacing w:line="360" w:lineRule="auto"/>
              <w:rPr>
                <w:rFonts w:ascii="宋体" w:cs="宋体"/>
                <w:sz w:val="24"/>
              </w:rPr>
            </w:pPr>
            <w:r>
              <w:rPr>
                <w:rFonts w:hint="eastAsia" w:ascii="宋体" w:hAnsi="宋体" w:cs="宋体"/>
                <w:sz w:val="24"/>
              </w:rPr>
              <w:t>须提交的原件材料</w:t>
            </w:r>
          </w:p>
        </w:tc>
        <w:tc>
          <w:tcPr>
            <w:tcW w:w="5801" w:type="dxa"/>
            <w:vAlign w:val="center"/>
          </w:tcPr>
          <w:p>
            <w:pPr>
              <w:shd w:val="clear" w:color="auto" w:fill="FFFFFF"/>
              <w:autoSpaceDE w:val="0"/>
              <w:autoSpaceDN w:val="0"/>
              <w:adjustRightInd w:val="0"/>
              <w:snapToGrid w:val="0"/>
              <w:spacing w:line="360" w:lineRule="auto"/>
              <w:jc w:val="left"/>
              <w:rPr>
                <w:rFonts w:ascii="宋体" w:cs="宋体"/>
                <w:sz w:val="24"/>
              </w:rPr>
            </w:pPr>
            <w:r>
              <w:rPr>
                <w:rFonts w:hint="eastAsia" w:ascii="宋体" w:cs="宋体"/>
                <w:sz w:val="24"/>
              </w:rPr>
              <w:t>详见评标办法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1" w:type="dxa"/>
            <w:vAlign w:val="center"/>
          </w:tcPr>
          <w:p>
            <w:pPr>
              <w:spacing w:line="360" w:lineRule="auto"/>
              <w:jc w:val="center"/>
              <w:rPr>
                <w:rFonts w:ascii="宋体" w:cs="宋体"/>
                <w:sz w:val="24"/>
              </w:rPr>
            </w:pPr>
            <w:r>
              <w:rPr>
                <w:rFonts w:ascii="宋体" w:hAnsi="宋体" w:cs="宋体"/>
                <w:sz w:val="24"/>
              </w:rPr>
              <w:t>3.2.</w:t>
            </w:r>
            <w:r>
              <w:rPr>
                <w:rFonts w:hint="eastAsia" w:ascii="宋体" w:hAnsi="宋体" w:cs="宋体"/>
                <w:sz w:val="24"/>
              </w:rPr>
              <w:t>5</w:t>
            </w:r>
          </w:p>
        </w:tc>
        <w:tc>
          <w:tcPr>
            <w:tcW w:w="2693" w:type="dxa"/>
            <w:vAlign w:val="center"/>
          </w:tcPr>
          <w:p>
            <w:pPr>
              <w:spacing w:line="360" w:lineRule="auto"/>
              <w:rPr>
                <w:rFonts w:ascii="宋体" w:cs="宋体"/>
                <w:sz w:val="24"/>
              </w:rPr>
            </w:pPr>
            <w:r>
              <w:rPr>
                <w:rFonts w:hint="eastAsia" w:ascii="宋体" w:hAnsi="宋体" w:cs="宋体"/>
                <w:sz w:val="24"/>
              </w:rPr>
              <w:t>投标报价要求</w:t>
            </w:r>
          </w:p>
        </w:tc>
        <w:tc>
          <w:tcPr>
            <w:tcW w:w="5801" w:type="dxa"/>
            <w:vAlign w:val="center"/>
          </w:tcPr>
          <w:p>
            <w:pPr>
              <w:spacing w:line="360" w:lineRule="auto"/>
              <w:rPr>
                <w:rFonts w:ascii="宋体" w:hAnsi="宋体" w:cs="宋体"/>
                <w:sz w:val="24"/>
              </w:rPr>
            </w:pPr>
            <w:r>
              <w:rPr>
                <w:rFonts w:hint="eastAsia" w:ascii="宋体" w:hAnsi="宋体"/>
                <w:sz w:val="24"/>
              </w:rPr>
              <w:t>固定综合单价，按实结算。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1" w:type="dxa"/>
            <w:vAlign w:val="center"/>
          </w:tcPr>
          <w:p>
            <w:pPr>
              <w:spacing w:line="360" w:lineRule="auto"/>
              <w:jc w:val="center"/>
              <w:rPr>
                <w:rFonts w:ascii="宋体" w:cs="宋体"/>
                <w:sz w:val="24"/>
              </w:rPr>
            </w:pPr>
            <w:r>
              <w:rPr>
                <w:rFonts w:ascii="宋体" w:hAnsi="宋体" w:cs="宋体"/>
                <w:sz w:val="24"/>
              </w:rPr>
              <w:t>3.2.11</w:t>
            </w:r>
          </w:p>
        </w:tc>
        <w:tc>
          <w:tcPr>
            <w:tcW w:w="2693" w:type="dxa"/>
            <w:vAlign w:val="center"/>
          </w:tcPr>
          <w:p>
            <w:pPr>
              <w:spacing w:line="360" w:lineRule="auto"/>
              <w:rPr>
                <w:rFonts w:ascii="宋体" w:cs="宋体"/>
                <w:sz w:val="24"/>
              </w:rPr>
            </w:pPr>
            <w:r>
              <w:rPr>
                <w:rFonts w:hint="eastAsia" w:ascii="宋体" w:hAnsi="宋体" w:cs="宋体"/>
                <w:sz w:val="24"/>
              </w:rPr>
              <w:t>最高投标限价</w:t>
            </w:r>
          </w:p>
        </w:tc>
        <w:tc>
          <w:tcPr>
            <w:tcW w:w="5801" w:type="dxa"/>
            <w:vAlign w:val="center"/>
          </w:tcPr>
          <w:p>
            <w:pPr>
              <w:spacing w:line="360" w:lineRule="auto"/>
              <w:rPr>
                <w:rFonts w:hint="eastAsia" w:ascii="宋体" w:hAnsi="宋体" w:eastAsia="宋体" w:cs="宋体"/>
                <w:b/>
                <w:bCs/>
                <w:color w:val="auto"/>
                <w:sz w:val="24"/>
                <w:u w:val="single"/>
                <w:lang w:val="en-US" w:eastAsia="zh-CN"/>
              </w:rPr>
            </w:pPr>
            <w:r>
              <w:rPr>
                <w:rFonts w:hint="eastAsia" w:ascii="宋体" w:hAnsi="宋体" w:eastAsia="宋体" w:cs="宋体"/>
                <w:b/>
                <w:bCs/>
                <w:color w:val="auto"/>
                <w:sz w:val="24"/>
                <w:u w:val="single"/>
                <w:lang w:val="en-US" w:eastAsia="zh-CN"/>
              </w:rPr>
              <w:t>最高投标限价（总价）为人民币86.73万元，其中7kw充电桩单价限价为1300元/台、落地支架单价限价为200元/个。</w:t>
            </w:r>
          </w:p>
          <w:p>
            <w:pPr>
              <w:spacing w:line="360" w:lineRule="auto"/>
              <w:rPr>
                <w:rFonts w:ascii="宋体" w:cs="宋体"/>
                <w:sz w:val="24"/>
              </w:rPr>
            </w:pPr>
            <w:r>
              <w:rPr>
                <w:rFonts w:hint="eastAsia" w:ascii="宋体" w:hAnsi="宋体" w:eastAsia="宋体" w:cs="宋体"/>
                <w:b/>
                <w:bCs/>
                <w:color w:val="auto"/>
                <w:sz w:val="24"/>
                <w:u w:val="single"/>
                <w:lang w:val="en-US" w:eastAsia="zh-CN"/>
              </w:rPr>
              <w:t>投标人投标报价（总价）高于招标人设定的最高投标限价（总价）、同时每个分项报价（单价）高于招标人设定的每个分项（单价）限价的，其投标按废标处理。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1" w:type="dxa"/>
            <w:vAlign w:val="center"/>
          </w:tcPr>
          <w:p>
            <w:pPr>
              <w:spacing w:line="360" w:lineRule="auto"/>
              <w:jc w:val="center"/>
              <w:rPr>
                <w:rFonts w:ascii="宋体" w:cs="宋体"/>
                <w:sz w:val="24"/>
              </w:rPr>
            </w:pPr>
            <w:r>
              <w:rPr>
                <w:rFonts w:ascii="宋体" w:hAnsi="宋体" w:cs="宋体"/>
                <w:sz w:val="24"/>
              </w:rPr>
              <w:t>3.3.1</w:t>
            </w:r>
          </w:p>
        </w:tc>
        <w:tc>
          <w:tcPr>
            <w:tcW w:w="2693" w:type="dxa"/>
            <w:vAlign w:val="center"/>
          </w:tcPr>
          <w:p>
            <w:pPr>
              <w:spacing w:line="360" w:lineRule="auto"/>
              <w:rPr>
                <w:rFonts w:ascii="宋体" w:cs="宋体"/>
                <w:sz w:val="24"/>
              </w:rPr>
            </w:pPr>
            <w:r>
              <w:rPr>
                <w:rFonts w:hint="eastAsia" w:ascii="宋体" w:hAnsi="宋体" w:cs="宋体"/>
                <w:sz w:val="24"/>
              </w:rPr>
              <w:t>投标有效期</w:t>
            </w:r>
          </w:p>
        </w:tc>
        <w:tc>
          <w:tcPr>
            <w:tcW w:w="5801" w:type="dxa"/>
            <w:vAlign w:val="center"/>
          </w:tcPr>
          <w:p>
            <w:pPr>
              <w:spacing w:line="360" w:lineRule="auto"/>
              <w:rPr>
                <w:rFonts w:ascii="宋体" w:cs="宋体"/>
                <w:sz w:val="24"/>
              </w:rPr>
            </w:pPr>
            <w:r>
              <w:rPr>
                <w:rFonts w:ascii="宋体" w:hAnsi="宋体" w:cs="宋体"/>
                <w:sz w:val="24"/>
                <w:u w:val="single"/>
                <w:lang w:val="zh-CN"/>
              </w:rPr>
              <w:t xml:space="preserve"> </w:t>
            </w:r>
            <w:r>
              <w:rPr>
                <w:rFonts w:hint="eastAsia" w:ascii="宋体" w:hAnsi="宋体" w:cs="宋体"/>
                <w:sz w:val="24"/>
                <w:u w:val="single"/>
                <w:lang w:val="zh-CN"/>
              </w:rPr>
              <w:t>45</w:t>
            </w:r>
            <w:r>
              <w:rPr>
                <w:rFonts w:hint="eastAsia" w:ascii="宋体" w:hAnsi="宋体" w:cs="宋体"/>
                <w:sz w:val="24"/>
                <w:lang w:val="zh-CN"/>
              </w:rPr>
              <w:t>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041" w:type="dxa"/>
            <w:vAlign w:val="center"/>
          </w:tcPr>
          <w:p>
            <w:pPr>
              <w:spacing w:line="360" w:lineRule="auto"/>
              <w:jc w:val="center"/>
              <w:rPr>
                <w:rFonts w:ascii="宋体" w:cs="宋体"/>
                <w:sz w:val="24"/>
              </w:rPr>
            </w:pPr>
            <w:r>
              <w:rPr>
                <w:rFonts w:ascii="宋体" w:hAnsi="宋体" w:cs="宋体"/>
                <w:sz w:val="24"/>
              </w:rPr>
              <w:t>3.4.1</w:t>
            </w:r>
          </w:p>
        </w:tc>
        <w:tc>
          <w:tcPr>
            <w:tcW w:w="2693" w:type="dxa"/>
            <w:vAlign w:val="center"/>
          </w:tcPr>
          <w:p>
            <w:pPr>
              <w:spacing w:line="360" w:lineRule="auto"/>
              <w:rPr>
                <w:rFonts w:ascii="宋体" w:cs="宋体"/>
                <w:sz w:val="24"/>
              </w:rPr>
            </w:pPr>
            <w:r>
              <w:rPr>
                <w:rFonts w:hint="eastAsia" w:ascii="宋体" w:hAnsi="宋体" w:cs="宋体"/>
                <w:sz w:val="24"/>
              </w:rPr>
              <w:t>投标保证金</w:t>
            </w:r>
          </w:p>
        </w:tc>
        <w:tc>
          <w:tcPr>
            <w:tcW w:w="5801" w:type="dxa"/>
            <w:vAlign w:val="center"/>
          </w:tcPr>
          <w:p>
            <w:pPr>
              <w:spacing w:line="360" w:lineRule="auto"/>
              <w:rPr>
                <w:rFonts w:ascii="宋体" w:cs="宋体"/>
                <w:sz w:val="24"/>
              </w:rPr>
            </w:pPr>
            <w:r>
              <w:rPr>
                <w:rFonts w:hint="eastAsia" w:ascii="宋体" w:hAnsi="宋体"/>
                <w:sz w:val="24"/>
                <w:lang w:val="en-US" w:eastAsia="zh-CN"/>
              </w:rPr>
              <w:t>本项目不设投标保证金。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041" w:type="dxa"/>
            <w:vAlign w:val="center"/>
          </w:tcPr>
          <w:p>
            <w:pPr>
              <w:adjustRightInd w:val="0"/>
              <w:snapToGrid w:val="0"/>
              <w:spacing w:line="400" w:lineRule="exact"/>
              <w:jc w:val="center"/>
              <w:rPr>
                <w:rFonts w:ascii="宋体" w:hAnsi="宋体"/>
                <w:sz w:val="24"/>
              </w:rPr>
            </w:pPr>
            <w:r>
              <w:rPr>
                <w:rFonts w:hint="eastAsia" w:ascii="宋体" w:hAnsi="宋体"/>
                <w:sz w:val="24"/>
              </w:rPr>
              <w:t>3.4.2</w:t>
            </w:r>
          </w:p>
        </w:tc>
        <w:tc>
          <w:tcPr>
            <w:tcW w:w="2693" w:type="dxa"/>
            <w:vAlign w:val="center"/>
          </w:tcPr>
          <w:p>
            <w:pPr>
              <w:adjustRightInd w:val="0"/>
              <w:snapToGrid w:val="0"/>
              <w:spacing w:line="400" w:lineRule="exact"/>
              <w:rPr>
                <w:rFonts w:ascii="宋体" w:hAnsi="宋体"/>
                <w:sz w:val="24"/>
              </w:rPr>
            </w:pPr>
            <w:r>
              <w:rPr>
                <w:rFonts w:hint="eastAsia" w:ascii="宋体" w:hAnsi="宋体"/>
                <w:sz w:val="24"/>
              </w:rPr>
              <w:t>投标保证金退还</w:t>
            </w:r>
          </w:p>
        </w:tc>
        <w:tc>
          <w:tcPr>
            <w:tcW w:w="5801" w:type="dxa"/>
            <w:vAlign w:val="center"/>
          </w:tcPr>
          <w:p>
            <w:pPr>
              <w:adjustRightInd w:val="0"/>
              <w:snapToGrid w:val="0"/>
              <w:spacing w:line="276" w:lineRule="auto"/>
              <w:rPr>
                <w:rFonts w:hint="eastAsia" w:ascii="宋体" w:hAnsi="宋体" w:eastAsia="宋体"/>
                <w:sz w:val="24"/>
                <w:lang w:val="en-US" w:eastAsia="zh-CN"/>
              </w:rPr>
            </w:pPr>
            <w:r>
              <w:rPr>
                <w:rFonts w:hint="eastAsia" w:ascii="宋体" w:hAnsi="宋体"/>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041" w:type="dxa"/>
            <w:vAlign w:val="center"/>
          </w:tcPr>
          <w:p>
            <w:pPr>
              <w:spacing w:line="360" w:lineRule="auto"/>
              <w:jc w:val="center"/>
              <w:rPr>
                <w:rFonts w:ascii="宋体" w:cs="宋体"/>
                <w:sz w:val="24"/>
              </w:rPr>
            </w:pPr>
            <w:r>
              <w:rPr>
                <w:rFonts w:ascii="宋体" w:hAnsi="宋体" w:cs="宋体"/>
                <w:sz w:val="24"/>
              </w:rPr>
              <w:t>3.6</w:t>
            </w:r>
          </w:p>
        </w:tc>
        <w:tc>
          <w:tcPr>
            <w:tcW w:w="2693" w:type="dxa"/>
            <w:vAlign w:val="center"/>
          </w:tcPr>
          <w:p>
            <w:pPr>
              <w:spacing w:line="360" w:lineRule="auto"/>
              <w:rPr>
                <w:rFonts w:ascii="宋体" w:cs="宋体"/>
                <w:sz w:val="24"/>
              </w:rPr>
            </w:pPr>
            <w:r>
              <w:rPr>
                <w:rFonts w:hint="eastAsia" w:ascii="宋体" w:hAnsi="宋体" w:cs="宋体"/>
                <w:sz w:val="24"/>
              </w:rPr>
              <w:t>是否允许递交备选投标方案</w:t>
            </w:r>
          </w:p>
        </w:tc>
        <w:tc>
          <w:tcPr>
            <w:tcW w:w="5801" w:type="dxa"/>
            <w:vAlign w:val="center"/>
          </w:tcPr>
          <w:p>
            <w:pPr>
              <w:adjustRightInd w:val="0"/>
              <w:snapToGrid w:val="0"/>
              <w:rPr>
                <w:rFonts w:ascii="宋体" w:hAnsi="宋体"/>
                <w:sz w:val="24"/>
              </w:rPr>
            </w:pPr>
            <w:r>
              <w:rPr>
                <w:rFonts w:hint="eastAsia" w:ascii="宋体" w:hAnsi="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041" w:type="dxa"/>
            <w:vAlign w:val="center"/>
          </w:tcPr>
          <w:p>
            <w:pPr>
              <w:jc w:val="center"/>
              <w:rPr>
                <w:rFonts w:hint="eastAsia" w:ascii="宋体" w:hAnsi="宋体" w:eastAsia="宋体"/>
                <w:sz w:val="24"/>
                <w:lang w:eastAsia="zh-CN"/>
              </w:rPr>
            </w:pPr>
            <w:r>
              <w:rPr>
                <w:rFonts w:hint="eastAsia" w:ascii="宋体" w:hAnsi="宋体"/>
                <w:sz w:val="24"/>
              </w:rPr>
              <w:t>3.7.</w:t>
            </w:r>
            <w:r>
              <w:rPr>
                <w:rFonts w:hint="eastAsia" w:ascii="宋体" w:hAnsi="宋体"/>
                <w:sz w:val="24"/>
                <w:lang w:val="en-US" w:eastAsia="zh-CN"/>
              </w:rPr>
              <w:t>3</w:t>
            </w:r>
          </w:p>
        </w:tc>
        <w:tc>
          <w:tcPr>
            <w:tcW w:w="2693" w:type="dxa"/>
            <w:vAlign w:val="center"/>
          </w:tcPr>
          <w:p>
            <w:pPr>
              <w:rPr>
                <w:rFonts w:hint="eastAsia" w:ascii="宋体" w:hAnsi="宋体" w:eastAsia="宋体"/>
                <w:sz w:val="24"/>
                <w:lang w:eastAsia="zh-CN"/>
              </w:rPr>
            </w:pPr>
            <w:r>
              <w:rPr>
                <w:rFonts w:hint="eastAsia" w:ascii="宋体" w:hAnsi="宋体"/>
                <w:sz w:val="24"/>
              </w:rPr>
              <w:t>技术标暗标编制要求</w:t>
            </w:r>
            <w:r>
              <w:rPr>
                <w:rFonts w:hint="eastAsia" w:ascii="宋体" w:hAnsi="宋体"/>
                <w:sz w:val="24"/>
                <w:lang w:eastAsia="zh-CN"/>
              </w:rPr>
              <w:t>（</w:t>
            </w:r>
            <w:r>
              <w:rPr>
                <w:rFonts w:hint="eastAsia" w:ascii="宋体" w:hAnsi="宋体"/>
                <w:sz w:val="24"/>
                <w:lang w:val="en-US" w:eastAsia="zh-CN"/>
              </w:rPr>
              <w:t>样品</w:t>
            </w:r>
            <w:r>
              <w:rPr>
                <w:rFonts w:hint="eastAsia" w:ascii="宋体" w:hAnsi="宋体"/>
                <w:sz w:val="24"/>
                <w:lang w:eastAsia="zh-CN"/>
              </w:rPr>
              <w:t>）</w:t>
            </w:r>
          </w:p>
        </w:tc>
        <w:tc>
          <w:tcPr>
            <w:tcW w:w="5801" w:type="dxa"/>
            <w:vAlign w:val="center"/>
          </w:tcPr>
          <w:p>
            <w:pPr>
              <w:adjustRightInd w:val="0"/>
              <w:snapToGrid w:val="0"/>
              <w:spacing w:line="320" w:lineRule="exact"/>
              <w:rPr>
                <w:rFonts w:hint="default" w:ascii="宋体" w:hAnsi="宋体" w:eastAsia="宋体"/>
                <w:sz w:val="24"/>
                <w:lang w:val="en-US" w:eastAsia="zh-CN"/>
              </w:rPr>
            </w:pPr>
            <w:r>
              <w:rPr>
                <w:rFonts w:hint="eastAsia" w:ascii="宋体" w:hAnsi="宋体"/>
                <w:sz w:val="24"/>
                <w:lang w:val="en-US" w:eastAsia="zh-CN"/>
              </w:rPr>
              <w:t>详见样品要求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041" w:type="dxa"/>
            <w:vAlign w:val="center"/>
          </w:tcPr>
          <w:p>
            <w:pPr>
              <w:adjustRightInd w:val="0"/>
              <w:snapToGrid w:val="0"/>
              <w:spacing w:line="400" w:lineRule="exact"/>
              <w:jc w:val="center"/>
              <w:rPr>
                <w:rFonts w:hint="eastAsia" w:ascii="宋体" w:hAnsi="宋体" w:eastAsia="宋体"/>
                <w:sz w:val="24"/>
                <w:lang w:eastAsia="zh-CN"/>
              </w:rPr>
            </w:pPr>
            <w:r>
              <w:rPr>
                <w:rFonts w:hint="eastAsia" w:ascii="宋体" w:hAnsi="宋体"/>
                <w:sz w:val="24"/>
              </w:rPr>
              <w:t>3.7.</w:t>
            </w:r>
            <w:r>
              <w:rPr>
                <w:rFonts w:hint="eastAsia" w:ascii="宋体" w:hAnsi="宋体"/>
                <w:sz w:val="24"/>
                <w:lang w:val="en-US" w:eastAsia="zh-CN"/>
              </w:rPr>
              <w:t>4</w:t>
            </w:r>
          </w:p>
        </w:tc>
        <w:tc>
          <w:tcPr>
            <w:tcW w:w="2693" w:type="dxa"/>
            <w:vAlign w:val="center"/>
          </w:tcPr>
          <w:p>
            <w:pPr>
              <w:adjustRightInd w:val="0"/>
              <w:snapToGrid w:val="0"/>
              <w:spacing w:line="400" w:lineRule="exact"/>
              <w:rPr>
                <w:rFonts w:ascii="宋体" w:hAnsi="宋体"/>
                <w:sz w:val="24"/>
              </w:rPr>
            </w:pPr>
            <w:r>
              <w:rPr>
                <w:rFonts w:hint="eastAsia" w:ascii="宋体" w:hAnsi="宋体"/>
                <w:sz w:val="24"/>
              </w:rPr>
              <w:t>投标文件编制的其它要求</w:t>
            </w:r>
          </w:p>
        </w:tc>
        <w:tc>
          <w:tcPr>
            <w:tcW w:w="5801" w:type="dxa"/>
            <w:vAlign w:val="center"/>
          </w:tcPr>
          <w:p>
            <w:pPr>
              <w:adjustRightInd w:val="0"/>
              <w:snapToGrid w:val="0"/>
              <w:spacing w:line="320" w:lineRule="exact"/>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041" w:type="dxa"/>
            <w:vAlign w:val="center"/>
          </w:tcPr>
          <w:p>
            <w:pPr>
              <w:spacing w:line="360" w:lineRule="auto"/>
              <w:jc w:val="center"/>
              <w:rPr>
                <w:rFonts w:ascii="宋体" w:cs="宋体"/>
                <w:sz w:val="24"/>
              </w:rPr>
            </w:pPr>
            <w:r>
              <w:rPr>
                <w:rFonts w:ascii="宋体" w:hAnsi="宋体" w:cs="宋体"/>
                <w:sz w:val="24"/>
              </w:rPr>
              <w:t>4.2.1</w:t>
            </w:r>
          </w:p>
        </w:tc>
        <w:tc>
          <w:tcPr>
            <w:tcW w:w="2693" w:type="dxa"/>
            <w:vAlign w:val="center"/>
          </w:tcPr>
          <w:p>
            <w:pPr>
              <w:rPr>
                <w:rFonts w:ascii="宋体"/>
                <w:sz w:val="24"/>
              </w:rPr>
            </w:pPr>
            <w:r>
              <w:rPr>
                <w:rFonts w:hint="eastAsia" w:ascii="宋体" w:hAnsi="宋体"/>
                <w:sz w:val="24"/>
              </w:rPr>
              <w:t>投标文件递交截止时间和地点</w:t>
            </w:r>
          </w:p>
        </w:tc>
        <w:tc>
          <w:tcPr>
            <w:tcW w:w="5801" w:type="dxa"/>
            <w:vAlign w:val="center"/>
          </w:tcPr>
          <w:p>
            <w:pPr>
              <w:spacing w:line="360" w:lineRule="auto"/>
              <w:rPr>
                <w:rFonts w:hint="eastAsia" w:ascii="宋体" w:hAnsi="宋体" w:eastAsia="宋体" w:cs="宋体"/>
                <w:b/>
                <w:bCs/>
                <w:color w:val="auto"/>
                <w:sz w:val="24"/>
                <w:u w:val="single"/>
                <w:lang w:val="en-US" w:eastAsia="zh-CN"/>
              </w:rPr>
            </w:pPr>
            <w:r>
              <w:rPr>
                <w:rFonts w:hint="eastAsia" w:ascii="宋体" w:hAnsi="宋体" w:eastAsia="宋体" w:cs="宋体"/>
                <w:b/>
                <w:bCs/>
                <w:color w:val="auto"/>
                <w:sz w:val="24"/>
                <w:u w:val="single"/>
                <w:lang w:val="en-US" w:eastAsia="zh-CN"/>
              </w:rPr>
              <w:t>（1）收 件 人：江苏新世纪工程项目管理有限公司</w:t>
            </w:r>
          </w:p>
          <w:p>
            <w:pPr>
              <w:spacing w:line="360" w:lineRule="auto"/>
              <w:rPr>
                <w:rFonts w:hint="eastAsia" w:ascii="宋体" w:hAnsi="宋体" w:eastAsia="宋体" w:cs="宋体"/>
                <w:b/>
                <w:bCs/>
                <w:color w:val="auto"/>
                <w:sz w:val="24"/>
                <w:u w:val="single"/>
                <w:lang w:val="en-US" w:eastAsia="zh-CN"/>
              </w:rPr>
            </w:pPr>
            <w:r>
              <w:rPr>
                <w:rFonts w:hint="eastAsia" w:ascii="宋体" w:hAnsi="宋体" w:eastAsia="宋体" w:cs="宋体"/>
                <w:b/>
                <w:bCs/>
                <w:color w:val="auto"/>
                <w:sz w:val="24"/>
                <w:u w:val="single"/>
                <w:lang w:val="en-US" w:eastAsia="zh-CN"/>
              </w:rPr>
              <w:t>（2）投标文件（不含样品）递交的截止时间：2024年5月8日14时00分（北京时间）。</w:t>
            </w:r>
          </w:p>
          <w:p>
            <w:pPr>
              <w:spacing w:line="360" w:lineRule="auto"/>
              <w:rPr>
                <w:rFonts w:hint="eastAsia" w:ascii="宋体" w:hAnsi="宋体" w:eastAsia="宋体" w:cs="宋体"/>
                <w:b/>
                <w:bCs/>
                <w:color w:val="auto"/>
                <w:sz w:val="24"/>
                <w:u w:val="single"/>
                <w:lang w:val="en-US" w:eastAsia="zh-CN"/>
              </w:rPr>
            </w:pPr>
            <w:r>
              <w:rPr>
                <w:rFonts w:hint="eastAsia" w:ascii="宋体" w:hAnsi="宋体" w:eastAsia="宋体" w:cs="宋体"/>
                <w:b/>
                <w:bCs/>
                <w:color w:val="auto"/>
                <w:sz w:val="24"/>
                <w:u w:val="single"/>
                <w:lang w:val="en-US" w:eastAsia="zh-CN"/>
              </w:rPr>
              <w:t>（3）样品递交截止时间2024年5月7日17时00分（北京时间）。</w:t>
            </w:r>
          </w:p>
          <w:p>
            <w:pPr>
              <w:spacing w:line="360" w:lineRule="auto"/>
              <w:rPr>
                <w:rFonts w:hint="eastAsia" w:ascii="宋体" w:hAnsi="宋体" w:eastAsia="宋体" w:cs="宋体"/>
                <w:b/>
                <w:bCs/>
                <w:color w:val="auto"/>
                <w:sz w:val="24"/>
                <w:u w:val="single"/>
                <w:lang w:val="en-US" w:eastAsia="zh-CN"/>
              </w:rPr>
            </w:pPr>
            <w:r>
              <w:rPr>
                <w:rFonts w:hint="eastAsia" w:ascii="宋体" w:hAnsi="宋体" w:eastAsia="宋体" w:cs="宋体"/>
                <w:b/>
                <w:bCs/>
                <w:color w:val="auto"/>
                <w:sz w:val="24"/>
                <w:u w:val="single"/>
                <w:lang w:val="en-US" w:eastAsia="zh-CN"/>
              </w:rPr>
              <w:t>（4）投标文件（不含样品）递交地点：南通市崇川区江海大道555号鸿鸣摩尔1幢13层会议室，如有变动另行通知。</w:t>
            </w:r>
          </w:p>
          <w:p>
            <w:pPr>
              <w:spacing w:line="360" w:lineRule="auto"/>
              <w:rPr>
                <w:rFonts w:hint="eastAsia" w:ascii="宋体" w:hAnsi="宋体" w:eastAsia="宋体" w:cs="宋体"/>
                <w:b/>
                <w:bCs/>
                <w:color w:val="auto"/>
                <w:sz w:val="24"/>
                <w:u w:val="single"/>
                <w:lang w:val="en-US" w:eastAsia="zh-CN"/>
              </w:rPr>
            </w:pPr>
            <w:r>
              <w:rPr>
                <w:rFonts w:hint="eastAsia" w:ascii="宋体" w:hAnsi="宋体" w:eastAsia="宋体" w:cs="宋体"/>
                <w:b/>
                <w:bCs/>
                <w:color w:val="auto"/>
                <w:sz w:val="24"/>
                <w:u w:val="single"/>
                <w:lang w:val="en-US" w:eastAsia="zh-CN"/>
              </w:rPr>
              <w:t>（5）样品递交地点：南通市崇川区江海大道555号鸿鸣摩尔1幢13层指定位置，如有变动另行通知。</w:t>
            </w:r>
          </w:p>
          <w:p>
            <w:pPr>
              <w:spacing w:line="360" w:lineRule="auto"/>
              <w:rPr>
                <w:rFonts w:ascii="宋体"/>
                <w:sz w:val="24"/>
              </w:rPr>
            </w:pPr>
            <w:r>
              <w:rPr>
                <w:rFonts w:hint="eastAsia" w:ascii="宋体" w:hAnsi="宋体" w:eastAsia="宋体" w:cs="宋体"/>
                <w:b/>
                <w:bCs/>
                <w:color w:val="auto"/>
                <w:sz w:val="24"/>
                <w:u w:val="single"/>
                <w:lang w:val="en-US" w:eastAsia="zh-CN"/>
              </w:rPr>
              <w:t>逾期送达或者未送达至指定地点的投标文件（不含样品）、样品，不予受理。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41" w:type="dxa"/>
            <w:vAlign w:val="center"/>
          </w:tcPr>
          <w:p>
            <w:pPr>
              <w:spacing w:line="360" w:lineRule="auto"/>
              <w:jc w:val="center"/>
              <w:rPr>
                <w:rFonts w:ascii="宋体" w:cs="宋体"/>
                <w:sz w:val="24"/>
              </w:rPr>
            </w:pPr>
            <w:r>
              <w:rPr>
                <w:rFonts w:ascii="宋体" w:hAnsi="宋体" w:cs="宋体"/>
                <w:sz w:val="24"/>
              </w:rPr>
              <w:t>5.1</w:t>
            </w:r>
            <w:r>
              <w:rPr>
                <w:rFonts w:hint="eastAsia" w:ascii="宋体" w:hAnsi="宋体" w:cs="宋体"/>
                <w:sz w:val="24"/>
              </w:rPr>
              <w:t>.1</w:t>
            </w:r>
          </w:p>
        </w:tc>
        <w:tc>
          <w:tcPr>
            <w:tcW w:w="2693" w:type="dxa"/>
            <w:vAlign w:val="center"/>
          </w:tcPr>
          <w:p>
            <w:pPr>
              <w:spacing w:line="360" w:lineRule="auto"/>
              <w:rPr>
                <w:rFonts w:ascii="宋体" w:cs="宋体"/>
                <w:sz w:val="24"/>
              </w:rPr>
            </w:pPr>
            <w:r>
              <w:rPr>
                <w:rFonts w:hint="eastAsia" w:ascii="宋体" w:hAnsi="宋体" w:cs="宋体"/>
                <w:sz w:val="24"/>
              </w:rPr>
              <w:t>开标时间和地点</w:t>
            </w:r>
          </w:p>
        </w:tc>
        <w:tc>
          <w:tcPr>
            <w:tcW w:w="5801" w:type="dxa"/>
            <w:vAlign w:val="center"/>
          </w:tcPr>
          <w:p>
            <w:pPr>
              <w:spacing w:line="360" w:lineRule="auto"/>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开标时间：</w:t>
            </w:r>
            <w:r>
              <w:rPr>
                <w:rFonts w:hint="eastAsia" w:ascii="宋体" w:hAnsi="宋体" w:cs="宋体"/>
                <w:b/>
                <w:bCs/>
                <w:kern w:val="0"/>
                <w:sz w:val="24"/>
                <w:u w:val="single"/>
              </w:rPr>
              <w:t>202</w:t>
            </w:r>
            <w:r>
              <w:rPr>
                <w:rFonts w:ascii="宋体" w:hAnsi="宋体" w:cs="宋体"/>
                <w:b/>
                <w:bCs/>
                <w:kern w:val="0"/>
                <w:sz w:val="24"/>
                <w:u w:val="single"/>
              </w:rPr>
              <w:t>4</w:t>
            </w:r>
            <w:r>
              <w:rPr>
                <w:rFonts w:hint="eastAsia" w:ascii="宋体" w:hAnsi="宋体" w:cs="宋体"/>
                <w:b/>
                <w:bCs/>
                <w:kern w:val="0"/>
                <w:sz w:val="24"/>
                <w:u w:val="single"/>
              </w:rPr>
              <w:t>年</w:t>
            </w:r>
            <w:r>
              <w:rPr>
                <w:rFonts w:hint="eastAsia" w:ascii="宋体" w:hAnsi="宋体" w:cs="宋体"/>
                <w:b/>
                <w:bCs/>
                <w:kern w:val="0"/>
                <w:sz w:val="24"/>
                <w:u w:val="single"/>
                <w:lang w:val="en-US" w:eastAsia="zh-CN"/>
              </w:rPr>
              <w:t>5</w:t>
            </w:r>
            <w:r>
              <w:rPr>
                <w:rFonts w:hint="eastAsia" w:ascii="宋体" w:hAnsi="宋体" w:cs="宋体"/>
                <w:b/>
                <w:bCs/>
                <w:kern w:val="0"/>
                <w:sz w:val="24"/>
                <w:u w:val="single"/>
              </w:rPr>
              <w:t>月</w:t>
            </w:r>
            <w:r>
              <w:rPr>
                <w:rFonts w:hint="eastAsia" w:ascii="宋体" w:hAnsi="宋体" w:cs="宋体"/>
                <w:b/>
                <w:bCs/>
                <w:kern w:val="0"/>
                <w:sz w:val="24"/>
                <w:u w:val="single"/>
                <w:lang w:val="en-US" w:eastAsia="zh-CN"/>
              </w:rPr>
              <w:t>8</w:t>
            </w:r>
            <w:r>
              <w:rPr>
                <w:rFonts w:hint="eastAsia" w:ascii="宋体" w:hAnsi="宋体" w:cs="宋体"/>
                <w:b/>
                <w:bCs/>
                <w:kern w:val="0"/>
                <w:sz w:val="24"/>
                <w:u w:val="single"/>
              </w:rPr>
              <w:t>日14时00分（北京时间）</w:t>
            </w:r>
          </w:p>
          <w:p>
            <w:pPr>
              <w:spacing w:line="360" w:lineRule="auto"/>
              <w:rPr>
                <w:rFonts w:ascii="宋体" w:cs="宋体"/>
                <w:sz w:val="24"/>
                <w:u w:val="single"/>
              </w:rPr>
            </w:pPr>
            <w:r>
              <w:rPr>
                <w:rFonts w:hint="eastAsia" w:ascii="宋体" w:hAnsi="宋体" w:cs="宋体"/>
                <w:b/>
                <w:bCs/>
                <w:kern w:val="0"/>
                <w:sz w:val="24"/>
                <w:lang w:val="en-US" w:eastAsia="zh-CN"/>
              </w:rPr>
              <w:t>开标地点：</w:t>
            </w:r>
            <w:r>
              <w:rPr>
                <w:rFonts w:ascii="宋体" w:hAnsi="宋体" w:cs="宋体"/>
                <w:b/>
                <w:bCs/>
                <w:kern w:val="0"/>
                <w:sz w:val="24"/>
                <w:u w:val="single"/>
              </w:rPr>
              <w:t>南通市崇川区江海大道555号鸿鸣摩尔1幢13层</w:t>
            </w:r>
            <w:r>
              <w:rPr>
                <w:rFonts w:hint="eastAsia" w:ascii="宋体" w:hAnsi="宋体" w:cs="宋体"/>
                <w:b/>
                <w:bCs/>
                <w:kern w:val="0"/>
                <w:sz w:val="24"/>
                <w:u w:val="single"/>
              </w:rPr>
              <w:t>会议室，如有变动另行通知</w:t>
            </w:r>
            <w:r>
              <w:rPr>
                <w:rFonts w:hint="eastAsia" w:ascii="宋体" w:hAnsi="宋体" w:cs="宋体"/>
                <w:b/>
                <w:bCs/>
                <w:kern w:val="0"/>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1041" w:type="dxa"/>
            <w:vAlign w:val="center"/>
          </w:tcPr>
          <w:p>
            <w:pPr>
              <w:adjustRightInd w:val="0"/>
              <w:snapToGrid w:val="0"/>
              <w:spacing w:line="400" w:lineRule="exact"/>
              <w:jc w:val="center"/>
              <w:rPr>
                <w:rFonts w:ascii="宋体" w:hAnsi="宋体"/>
                <w:sz w:val="24"/>
              </w:rPr>
            </w:pPr>
            <w:r>
              <w:rPr>
                <w:rFonts w:hint="eastAsia" w:ascii="宋体" w:hAnsi="宋体"/>
                <w:sz w:val="24"/>
              </w:rPr>
              <w:t>5.1.2</w:t>
            </w:r>
          </w:p>
        </w:tc>
        <w:tc>
          <w:tcPr>
            <w:tcW w:w="2693" w:type="dxa"/>
            <w:vAlign w:val="center"/>
          </w:tcPr>
          <w:p>
            <w:pPr>
              <w:adjustRightInd w:val="0"/>
              <w:snapToGrid w:val="0"/>
              <w:spacing w:line="400" w:lineRule="exact"/>
              <w:rPr>
                <w:rFonts w:ascii="宋体" w:hAnsi="宋体"/>
                <w:sz w:val="24"/>
              </w:rPr>
            </w:pPr>
            <w:r>
              <w:rPr>
                <w:rFonts w:hint="eastAsia" w:ascii="宋体" w:hAnsi="宋体"/>
                <w:sz w:val="24"/>
              </w:rPr>
              <w:t>参加开标会的投标人代表</w:t>
            </w:r>
          </w:p>
        </w:tc>
        <w:tc>
          <w:tcPr>
            <w:tcW w:w="5801" w:type="dxa"/>
            <w:vAlign w:val="center"/>
          </w:tcPr>
          <w:p>
            <w:pPr>
              <w:adjustRightInd w:val="0"/>
              <w:snapToGrid w:val="0"/>
              <w:spacing w:line="400" w:lineRule="exact"/>
              <w:rPr>
                <w:rFonts w:ascii="宋体" w:hAnsi="宋体"/>
                <w:b/>
                <w:sz w:val="24"/>
              </w:rPr>
            </w:pPr>
            <w:r>
              <w:rPr>
                <w:rFonts w:hint="eastAsia" w:ascii="宋体" w:hAnsi="宋体" w:cs="宋体"/>
                <w:sz w:val="24"/>
              </w:rPr>
              <w:t>投标人递交投标文件时</w:t>
            </w:r>
            <w:bookmarkStart w:id="590" w:name="_GoBack"/>
            <w:bookmarkEnd w:id="590"/>
            <w:r>
              <w:rPr>
                <w:rFonts w:hint="eastAsia" w:ascii="宋体" w:hAnsi="宋体" w:cs="宋体"/>
                <w:sz w:val="24"/>
              </w:rPr>
              <w:t>，投标人的法定代表人或其授权委托人必须携带本人身份证、</w:t>
            </w:r>
            <w:r>
              <w:rPr>
                <w:rFonts w:hint="eastAsia" w:ascii="宋体" w:hAnsi="宋体" w:cs="宋体"/>
                <w:sz w:val="24"/>
                <w:lang w:val="en-US" w:eastAsia="zh-CN"/>
              </w:rPr>
              <w:t>法定代表人身份证明原件或</w:t>
            </w:r>
            <w:r>
              <w:rPr>
                <w:rFonts w:hint="eastAsia" w:ascii="宋体" w:hAnsi="宋体" w:cs="宋体"/>
                <w:sz w:val="24"/>
              </w:rPr>
              <w:t>授权委托书原件（如有授权）准时参加开标会议。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041" w:type="dxa"/>
            <w:vAlign w:val="center"/>
          </w:tcPr>
          <w:p>
            <w:pPr>
              <w:jc w:val="center"/>
              <w:rPr>
                <w:rFonts w:ascii="宋体" w:hAnsi="宋体"/>
                <w:sz w:val="24"/>
              </w:rPr>
            </w:pPr>
            <w:r>
              <w:rPr>
                <w:rFonts w:hint="eastAsia" w:ascii="宋体" w:hAnsi="宋体"/>
                <w:sz w:val="24"/>
              </w:rPr>
              <w:t>5.2.1</w:t>
            </w:r>
          </w:p>
        </w:tc>
        <w:tc>
          <w:tcPr>
            <w:tcW w:w="2693" w:type="dxa"/>
            <w:vAlign w:val="center"/>
          </w:tcPr>
          <w:p>
            <w:pPr>
              <w:adjustRightInd w:val="0"/>
              <w:snapToGrid w:val="0"/>
              <w:rPr>
                <w:rFonts w:ascii="宋体" w:hAnsi="宋体" w:cs="宋体"/>
                <w:sz w:val="24"/>
              </w:rPr>
            </w:pPr>
            <w:r>
              <w:rPr>
                <w:rFonts w:hint="eastAsia" w:ascii="宋体" w:hAnsi="宋体" w:cs="宋体"/>
                <w:sz w:val="24"/>
              </w:rPr>
              <w:t>开标程序</w:t>
            </w:r>
          </w:p>
        </w:tc>
        <w:tc>
          <w:tcPr>
            <w:tcW w:w="5801" w:type="dxa"/>
            <w:vAlign w:val="center"/>
          </w:tcPr>
          <w:p>
            <w:pPr>
              <w:autoSpaceDE w:val="0"/>
              <w:autoSpaceDN w:val="0"/>
              <w:snapToGrid w:val="0"/>
              <w:jc w:val="left"/>
              <w:rPr>
                <w:rFonts w:ascii="宋体" w:hAnsi="宋体" w:cs="宋体"/>
                <w:sz w:val="24"/>
              </w:rPr>
            </w:pPr>
            <w:r>
              <w:rPr>
                <w:rFonts w:hint="eastAsia" w:ascii="宋体" w:hAnsi="宋体" w:cs="宋体"/>
                <w:sz w:val="24"/>
              </w:rPr>
              <w:t>(1）宣布开标纪律；</w:t>
            </w:r>
          </w:p>
          <w:p>
            <w:pPr>
              <w:autoSpaceDE w:val="0"/>
              <w:autoSpaceDN w:val="0"/>
              <w:snapToGrid w:val="0"/>
              <w:jc w:val="left"/>
              <w:rPr>
                <w:rFonts w:ascii="宋体" w:hAnsi="宋体" w:cs="宋体"/>
                <w:sz w:val="24"/>
              </w:rPr>
            </w:pPr>
            <w:r>
              <w:rPr>
                <w:rFonts w:hint="eastAsia" w:ascii="宋体" w:hAnsi="宋体" w:cs="宋体"/>
                <w:sz w:val="24"/>
              </w:rPr>
              <w:t>(2）公布投标人名称；</w:t>
            </w:r>
          </w:p>
          <w:p>
            <w:pPr>
              <w:autoSpaceDE w:val="0"/>
              <w:autoSpaceDN w:val="0"/>
              <w:snapToGrid w:val="0"/>
              <w:jc w:val="left"/>
              <w:rPr>
                <w:rFonts w:ascii="宋体" w:hAnsi="宋体" w:cs="宋体"/>
                <w:sz w:val="24"/>
              </w:rPr>
            </w:pPr>
            <w:r>
              <w:rPr>
                <w:rFonts w:hint="eastAsia" w:ascii="宋体" w:hAnsi="宋体" w:cs="宋体"/>
                <w:sz w:val="24"/>
              </w:rPr>
              <w:t>(3）抽取相关系数；</w:t>
            </w:r>
          </w:p>
          <w:p>
            <w:pPr>
              <w:autoSpaceDE w:val="0"/>
              <w:autoSpaceDN w:val="0"/>
              <w:snapToGrid w:val="0"/>
              <w:jc w:val="left"/>
              <w:rPr>
                <w:rFonts w:ascii="宋体" w:hAnsi="宋体" w:cs="宋体"/>
                <w:sz w:val="24"/>
              </w:rPr>
            </w:pPr>
            <w:r>
              <w:rPr>
                <w:rFonts w:hint="eastAsia" w:ascii="宋体" w:hAnsi="宋体" w:cs="宋体"/>
                <w:sz w:val="24"/>
              </w:rPr>
              <w:t>(4）依次开启投标文件；</w:t>
            </w:r>
          </w:p>
          <w:p>
            <w:pPr>
              <w:adjustRightInd w:val="0"/>
              <w:snapToGrid w:val="0"/>
              <w:jc w:val="left"/>
              <w:rPr>
                <w:rFonts w:ascii="宋体" w:hAnsi="宋体" w:cs="宋体"/>
                <w:sz w:val="24"/>
              </w:rPr>
            </w:pPr>
            <w:r>
              <w:rPr>
                <w:rFonts w:hint="eastAsia" w:ascii="宋体" w:hAnsi="宋体" w:cs="宋体"/>
                <w:sz w:val="24"/>
              </w:rPr>
              <w:t>(5）开标结束。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041" w:type="dxa"/>
            <w:vAlign w:val="center"/>
          </w:tcPr>
          <w:p>
            <w:pPr>
              <w:jc w:val="center"/>
              <w:rPr>
                <w:rFonts w:ascii="宋体" w:cs="宋体"/>
                <w:sz w:val="24"/>
              </w:rPr>
            </w:pPr>
            <w:r>
              <w:rPr>
                <w:rFonts w:ascii="宋体" w:hAnsi="宋体"/>
                <w:sz w:val="24"/>
              </w:rPr>
              <w:t>6.1.1</w:t>
            </w:r>
          </w:p>
        </w:tc>
        <w:tc>
          <w:tcPr>
            <w:tcW w:w="2693" w:type="dxa"/>
            <w:vAlign w:val="center"/>
          </w:tcPr>
          <w:p>
            <w:pPr>
              <w:rPr>
                <w:rFonts w:ascii="宋体" w:cs="宋体"/>
                <w:kern w:val="0"/>
                <w:sz w:val="24"/>
              </w:rPr>
            </w:pPr>
            <w:r>
              <w:rPr>
                <w:rFonts w:hint="eastAsia" w:ascii="宋体" w:hAnsi="宋体" w:cs="宋体"/>
                <w:kern w:val="0"/>
                <w:sz w:val="24"/>
              </w:rPr>
              <w:t>评标委员会</w:t>
            </w:r>
          </w:p>
        </w:tc>
        <w:tc>
          <w:tcPr>
            <w:tcW w:w="5801" w:type="dxa"/>
            <w:vAlign w:val="center"/>
          </w:tcPr>
          <w:p>
            <w:pPr>
              <w:rPr>
                <w:rFonts w:ascii="宋体"/>
                <w:kern w:val="0"/>
                <w:sz w:val="24"/>
              </w:rPr>
            </w:pPr>
            <w:r>
              <w:rPr>
                <w:rFonts w:hint="eastAsia" w:ascii="宋体" w:hAnsi="宋体" w:cs="宋体"/>
                <w:sz w:val="24"/>
              </w:rPr>
              <w:t>评标委员会构成共</w:t>
            </w:r>
            <w:r>
              <w:rPr>
                <w:rFonts w:ascii="宋体" w:hAnsi="宋体" w:cs="宋体"/>
                <w:sz w:val="24"/>
              </w:rPr>
              <w:t>5人或5</w:t>
            </w:r>
            <w:r>
              <w:rPr>
                <w:rFonts w:hint="eastAsia" w:ascii="宋体" w:hAnsi="宋体" w:cs="宋体"/>
                <w:sz w:val="24"/>
              </w:rPr>
              <w:t>人以上单数。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041" w:type="dxa"/>
            <w:vAlign w:val="center"/>
          </w:tcPr>
          <w:p>
            <w:pPr>
              <w:spacing w:line="360" w:lineRule="auto"/>
              <w:jc w:val="center"/>
              <w:rPr>
                <w:rFonts w:ascii="宋体" w:cs="宋体"/>
                <w:sz w:val="24"/>
              </w:rPr>
            </w:pPr>
            <w:r>
              <w:rPr>
                <w:rFonts w:ascii="宋体" w:hAnsi="宋体" w:cs="宋体"/>
                <w:sz w:val="24"/>
              </w:rPr>
              <w:t>8.1</w:t>
            </w:r>
          </w:p>
        </w:tc>
        <w:tc>
          <w:tcPr>
            <w:tcW w:w="2693" w:type="dxa"/>
            <w:vAlign w:val="center"/>
          </w:tcPr>
          <w:p>
            <w:pPr>
              <w:spacing w:line="360" w:lineRule="auto"/>
              <w:rPr>
                <w:rFonts w:ascii="宋体" w:cs="宋体"/>
                <w:sz w:val="24"/>
              </w:rPr>
            </w:pPr>
            <w:r>
              <w:rPr>
                <w:rFonts w:hint="eastAsia" w:ascii="宋体" w:hAnsi="宋体" w:cs="宋体"/>
                <w:sz w:val="24"/>
              </w:rPr>
              <w:t>是否授权评标委员会确定中标人</w:t>
            </w:r>
          </w:p>
        </w:tc>
        <w:tc>
          <w:tcPr>
            <w:tcW w:w="5801" w:type="dxa"/>
            <w:vAlign w:val="center"/>
          </w:tcPr>
          <w:p>
            <w:pPr>
              <w:rPr>
                <w:rFonts w:ascii="Calibri" w:hAnsi="Calibri"/>
                <w:sz w:val="24"/>
              </w:rPr>
            </w:pPr>
            <w:r>
              <w:rPr>
                <w:rFonts w:ascii="宋体" w:hAnsi="宋体"/>
                <w:kern w:val="0"/>
                <w:sz w:val="24"/>
              </w:rPr>
              <w:t>□</w:t>
            </w:r>
            <w:r>
              <w:rPr>
                <w:rFonts w:ascii="Calibri" w:hAnsi="Calibri"/>
                <w:sz w:val="24"/>
              </w:rPr>
              <w:t>是</w:t>
            </w:r>
          </w:p>
          <w:p>
            <w:pPr>
              <w:spacing w:line="360" w:lineRule="auto"/>
              <w:rPr>
                <w:rFonts w:ascii="宋体" w:cs="宋体"/>
                <w:sz w:val="24"/>
              </w:rPr>
            </w:pPr>
            <w:r>
              <w:rPr>
                <w:rFonts w:ascii="宋体" w:hAnsi="宋体"/>
                <w:kern w:val="0"/>
                <w:sz w:val="24"/>
              </w:rPr>
              <w:fldChar w:fldCharType="begin"/>
            </w:r>
            <w:r>
              <w:rPr>
                <w:rFonts w:ascii="宋体" w:hAnsi="宋体"/>
                <w:kern w:val="0"/>
                <w:sz w:val="24"/>
              </w:rPr>
              <w:instrText xml:space="preserve"> </w:instrText>
            </w:r>
            <w:r>
              <w:rPr>
                <w:rFonts w:hint="eastAsia" w:ascii="宋体" w:hAnsi="宋体"/>
                <w:kern w:val="0"/>
                <w:sz w:val="24"/>
              </w:rPr>
              <w:instrText xml:space="preserve">eq \o\ac(□,</w:instrText>
            </w:r>
            <w:r>
              <w:rPr>
                <w:rFonts w:hint="eastAsia" w:ascii="宋体" w:hAnsi="宋体"/>
                <w:kern w:val="0"/>
                <w:position w:val="2"/>
                <w:sz w:val="24"/>
              </w:rPr>
              <w:instrText xml:space="preserve">√</w:instrText>
            </w:r>
            <w:r>
              <w:rPr>
                <w:rFonts w:hint="eastAsia" w:ascii="宋体" w:hAnsi="宋体"/>
                <w:kern w:val="0"/>
                <w:sz w:val="24"/>
              </w:rPr>
              <w:instrText xml:space="preserve">)</w:instrText>
            </w:r>
            <w:r>
              <w:rPr>
                <w:rFonts w:ascii="宋体" w:hAnsi="宋体"/>
                <w:kern w:val="0"/>
                <w:sz w:val="24"/>
              </w:rPr>
              <w:fldChar w:fldCharType="end"/>
            </w:r>
            <w:r>
              <w:rPr>
                <w:rFonts w:ascii="Calibri" w:hAnsi="Calibri"/>
                <w:sz w:val="24"/>
              </w:rPr>
              <w:t>否，推荐的中标候选人数</w:t>
            </w:r>
            <w:r>
              <w:rPr>
                <w:rFonts w:hint="eastAsia" w:ascii="Calibri" w:hAnsi="Calibri"/>
                <w:sz w:val="24"/>
                <w:u w:val="single"/>
              </w:rPr>
              <w:t>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041" w:type="dxa"/>
            <w:vAlign w:val="center"/>
          </w:tcPr>
          <w:p>
            <w:pPr>
              <w:spacing w:line="360" w:lineRule="auto"/>
              <w:jc w:val="center"/>
              <w:rPr>
                <w:rFonts w:ascii="宋体" w:cs="宋体"/>
                <w:sz w:val="24"/>
              </w:rPr>
            </w:pPr>
            <w:r>
              <w:rPr>
                <w:rFonts w:ascii="宋体" w:hAnsi="宋体" w:cs="宋体"/>
                <w:sz w:val="24"/>
              </w:rPr>
              <w:t>8.3</w:t>
            </w:r>
          </w:p>
        </w:tc>
        <w:tc>
          <w:tcPr>
            <w:tcW w:w="2693" w:type="dxa"/>
            <w:vAlign w:val="center"/>
          </w:tcPr>
          <w:p>
            <w:pPr>
              <w:spacing w:line="360" w:lineRule="auto"/>
              <w:rPr>
                <w:rFonts w:ascii="宋体" w:cs="宋体"/>
                <w:sz w:val="24"/>
              </w:rPr>
            </w:pPr>
            <w:r>
              <w:rPr>
                <w:rFonts w:hint="eastAsia" w:ascii="宋体" w:hAnsi="宋体" w:cs="宋体"/>
                <w:sz w:val="24"/>
              </w:rPr>
              <w:t>履约保证金</w:t>
            </w:r>
          </w:p>
        </w:tc>
        <w:tc>
          <w:tcPr>
            <w:tcW w:w="5801" w:type="dxa"/>
            <w:vAlign w:val="center"/>
          </w:tcPr>
          <w:p>
            <w:pPr>
              <w:adjustRightInd w:val="0"/>
              <w:snapToGrid w:val="0"/>
              <w:rPr>
                <w:rFonts w:ascii="宋体" w:hAnsi="宋体" w:cs="宋体"/>
                <w:sz w:val="24"/>
              </w:rPr>
            </w:pPr>
            <w:r>
              <w:rPr>
                <w:rFonts w:ascii="宋体" w:hAnsi="宋体" w:cs="宋体"/>
                <w:sz w:val="24"/>
              </w:rPr>
              <w:fldChar w:fldCharType="begin"/>
            </w:r>
            <w:r>
              <w:rPr>
                <w:rFonts w:ascii="宋体" w:hAnsi="宋体" w:cs="宋体"/>
                <w:sz w:val="24"/>
              </w:rPr>
              <w:instrText xml:space="preserve"> eq \o \ac(</w:instrText>
            </w:r>
            <w:r>
              <w:rPr>
                <w:rFonts w:hint="eastAsia" w:ascii="宋体" w:hAnsi="宋体" w:cs="宋体"/>
                <w:sz w:val="24"/>
              </w:rPr>
              <w:instrText xml:space="preserve">□,√)</w:instrText>
            </w:r>
            <w:r>
              <w:rPr>
                <w:rFonts w:ascii="宋体" w:hAnsi="宋体" w:cs="宋体"/>
                <w:sz w:val="24"/>
              </w:rPr>
              <w:fldChar w:fldCharType="end"/>
            </w:r>
            <w:r>
              <w:rPr>
                <w:rFonts w:hint="eastAsia" w:ascii="宋体" w:hAnsi="宋体" w:cs="宋体"/>
                <w:sz w:val="24"/>
              </w:rPr>
              <w:t>是  履约保证金的形式：</w:t>
            </w:r>
            <w:r>
              <w:rPr>
                <w:rFonts w:hint="eastAsia" w:ascii="宋体" w:hAnsi="宋体" w:cs="宋体"/>
                <w:b/>
                <w:bCs/>
                <w:sz w:val="24"/>
              </w:rPr>
              <w:t>转帐或企业基本账户开具的银行保函</w:t>
            </w:r>
            <w:r>
              <w:rPr>
                <w:rFonts w:hint="eastAsia" w:ascii="宋体" w:hAnsi="宋体" w:cs="宋体"/>
                <w:sz w:val="24"/>
              </w:rPr>
              <w:t>。</w:t>
            </w:r>
          </w:p>
          <w:p>
            <w:pPr>
              <w:adjustRightInd w:val="0"/>
              <w:snapToGrid w:val="0"/>
              <w:rPr>
                <w:rFonts w:ascii="宋体" w:hAnsi="宋体" w:cs="宋体"/>
                <w:sz w:val="24"/>
              </w:rPr>
            </w:pPr>
            <w:r>
              <w:rPr>
                <w:rFonts w:hint="eastAsia" w:ascii="宋体" w:hAnsi="宋体" w:cs="宋体"/>
                <w:sz w:val="24"/>
              </w:rPr>
              <w:t>履约保证金的金额：为合同价的5%，投标人在收到中标通知书后，须在</w:t>
            </w:r>
            <w:r>
              <w:rPr>
                <w:rFonts w:hint="eastAsia" w:ascii="宋体" w:hAnsi="宋体" w:cs="宋体"/>
                <w:sz w:val="24"/>
                <w:u w:val="single"/>
              </w:rPr>
              <w:t xml:space="preserve">  10  </w:t>
            </w:r>
            <w:r>
              <w:rPr>
                <w:rFonts w:hint="eastAsia" w:ascii="宋体" w:hAnsi="宋体" w:cs="宋体"/>
                <w:sz w:val="24"/>
              </w:rPr>
              <w:t>日内向招标人足额提交履约保证金，否则招标人可以取消其中标资格。</w:t>
            </w:r>
          </w:p>
          <w:p>
            <w:pPr>
              <w:spacing w:line="360" w:lineRule="auto"/>
              <w:rPr>
                <w:rFonts w:ascii="宋体" w:cs="宋体"/>
                <w:sz w:val="24"/>
              </w:rPr>
            </w:pPr>
            <w:r>
              <w:rPr>
                <w:rFonts w:hint="eastAsia" w:ascii="宋体" w:hAnsi="宋体" w:cs="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041" w:type="dxa"/>
            <w:vAlign w:val="center"/>
          </w:tcPr>
          <w:p>
            <w:pPr>
              <w:spacing w:line="360" w:lineRule="auto"/>
              <w:jc w:val="center"/>
              <w:rPr>
                <w:rFonts w:ascii="宋体" w:cs="宋体"/>
                <w:sz w:val="24"/>
              </w:rPr>
            </w:pPr>
            <w:r>
              <w:rPr>
                <w:rFonts w:ascii="宋体" w:hAnsi="宋体" w:cs="宋体"/>
                <w:sz w:val="24"/>
              </w:rPr>
              <w:t>10</w:t>
            </w:r>
          </w:p>
        </w:tc>
        <w:tc>
          <w:tcPr>
            <w:tcW w:w="8494" w:type="dxa"/>
            <w:gridSpan w:val="2"/>
            <w:vAlign w:val="center"/>
          </w:tcPr>
          <w:p>
            <w:pPr>
              <w:spacing w:line="360" w:lineRule="auto"/>
              <w:rPr>
                <w:rFonts w:ascii="宋体" w:cs="宋体"/>
                <w:sz w:val="24"/>
              </w:rPr>
            </w:pPr>
            <w:r>
              <w:rPr>
                <w:rFonts w:hint="eastAsia" w:ascii="宋体" w:hAnsi="宋体" w:cs="宋体"/>
                <w:sz w:val="24"/>
              </w:rPr>
              <w:t>需要补充的其他内容：</w:t>
            </w:r>
          </w:p>
        </w:tc>
      </w:tr>
    </w:tbl>
    <w:p>
      <w:pPr>
        <w:pStyle w:val="5"/>
        <w:keepNext w:val="0"/>
        <w:keepLines w:val="0"/>
        <w:spacing w:line="360" w:lineRule="auto"/>
        <w:rPr>
          <w:rFonts w:ascii="宋体" w:hAnsi="宋体" w:eastAsia="宋体" w:cs="宋体"/>
        </w:rPr>
      </w:pPr>
      <w:r>
        <w:rPr>
          <w:rFonts w:ascii="宋体" w:hAnsi="宋体" w:eastAsia="宋体" w:cs="宋体"/>
        </w:rPr>
        <w:br w:type="page"/>
      </w:r>
      <w:bookmarkStart w:id="38" w:name="_Toc508918237"/>
      <w:bookmarkStart w:id="39" w:name="_Toc387526375"/>
      <w:bookmarkStart w:id="40" w:name="_Toc387526283"/>
      <w:bookmarkStart w:id="41" w:name="_Toc18948"/>
      <w:bookmarkStart w:id="42" w:name="_Toc387526179"/>
      <w:bookmarkStart w:id="43" w:name="_Toc500510923"/>
      <w:r>
        <w:rPr>
          <w:rFonts w:ascii="宋体" w:hAnsi="宋体" w:eastAsia="宋体" w:cs="宋体"/>
        </w:rPr>
        <w:t>1</w:t>
      </w:r>
      <w:r>
        <w:rPr>
          <w:rFonts w:ascii="宋体" w:hAnsi="宋体" w:eastAsia="宋体" w:cs="宋体"/>
          <w:sz w:val="28"/>
          <w:szCs w:val="28"/>
        </w:rPr>
        <w:t>.</w:t>
      </w:r>
      <w:r>
        <w:rPr>
          <w:rFonts w:hint="eastAsia" w:ascii="宋体" w:hAnsi="宋体" w:eastAsia="宋体" w:cs="宋体"/>
        </w:rPr>
        <w:t>总则</w:t>
      </w:r>
      <w:bookmarkEnd w:id="32"/>
      <w:bookmarkEnd w:id="33"/>
      <w:bookmarkEnd w:id="34"/>
      <w:bookmarkEnd w:id="35"/>
      <w:bookmarkEnd w:id="36"/>
      <w:bookmarkEnd w:id="37"/>
      <w:bookmarkEnd w:id="38"/>
      <w:bookmarkEnd w:id="39"/>
      <w:bookmarkEnd w:id="40"/>
      <w:bookmarkEnd w:id="41"/>
      <w:bookmarkEnd w:id="42"/>
      <w:bookmarkEnd w:id="43"/>
    </w:p>
    <w:p>
      <w:pPr>
        <w:pStyle w:val="6"/>
        <w:keepNext w:val="0"/>
        <w:keepLines w:val="0"/>
        <w:spacing w:before="60" w:after="60" w:line="360" w:lineRule="auto"/>
        <w:ind w:firstLine="0" w:firstLineChars="0"/>
        <w:rPr>
          <w:rFonts w:ascii="宋体" w:hAnsi="宋体" w:eastAsia="宋体" w:cs="宋体"/>
          <w:szCs w:val="24"/>
        </w:rPr>
      </w:pPr>
      <w:bookmarkStart w:id="44" w:name="_Toc508918238"/>
      <w:bookmarkStart w:id="45" w:name="_Toc387526376"/>
      <w:bookmarkStart w:id="46" w:name="_Toc387526284"/>
      <w:bookmarkStart w:id="47" w:name="_Toc5365"/>
      <w:bookmarkStart w:id="48" w:name="_Toc387526180"/>
      <w:bookmarkStart w:id="49" w:name="_Toc500510924"/>
      <w:r>
        <w:rPr>
          <w:rFonts w:ascii="宋体" w:hAnsi="宋体" w:eastAsia="宋体" w:cs="宋体"/>
          <w:szCs w:val="24"/>
        </w:rPr>
        <w:t xml:space="preserve">1.1 </w:t>
      </w:r>
      <w:r>
        <w:rPr>
          <w:rFonts w:hint="eastAsia" w:ascii="宋体" w:hAnsi="宋体" w:eastAsia="宋体" w:cs="宋体"/>
          <w:szCs w:val="24"/>
        </w:rPr>
        <w:t>项目概况</w:t>
      </w:r>
      <w:bookmarkEnd w:id="44"/>
      <w:bookmarkEnd w:id="45"/>
      <w:bookmarkEnd w:id="46"/>
      <w:bookmarkEnd w:id="47"/>
      <w:bookmarkEnd w:id="48"/>
      <w:bookmarkEnd w:id="49"/>
    </w:p>
    <w:p>
      <w:pPr>
        <w:spacing w:line="360" w:lineRule="auto"/>
        <w:rPr>
          <w:rFonts w:ascii="宋体" w:cs="宋体"/>
          <w:sz w:val="24"/>
        </w:rPr>
      </w:pPr>
      <w:r>
        <w:rPr>
          <w:rFonts w:ascii="宋体" w:hAnsi="宋体" w:cs="宋体"/>
          <w:sz w:val="24"/>
        </w:rPr>
        <w:t>1.1.1</w:t>
      </w:r>
      <w:r>
        <w:rPr>
          <w:rFonts w:hint="eastAsia" w:ascii="宋体" w:hAnsi="宋体" w:cs="宋体"/>
          <w:sz w:val="24"/>
        </w:rPr>
        <w:t>根据有关法律、法规和规章的规定，本招标项目已具备招标条件，现对本工程进行招标。</w:t>
      </w:r>
    </w:p>
    <w:p>
      <w:pPr>
        <w:spacing w:line="360" w:lineRule="auto"/>
        <w:rPr>
          <w:rFonts w:ascii="宋体" w:cs="宋体"/>
          <w:sz w:val="24"/>
        </w:rPr>
      </w:pPr>
      <w:r>
        <w:rPr>
          <w:rFonts w:ascii="宋体" w:hAnsi="宋体" w:cs="宋体"/>
          <w:sz w:val="24"/>
        </w:rPr>
        <w:t>1.1.2</w:t>
      </w:r>
      <w:r>
        <w:rPr>
          <w:rFonts w:hint="eastAsia" w:ascii="宋体" w:hAnsi="宋体" w:cs="宋体"/>
          <w:sz w:val="24"/>
        </w:rPr>
        <w:t>本招标项目招标人：见投标人须知前附表。</w:t>
      </w:r>
    </w:p>
    <w:p>
      <w:pPr>
        <w:spacing w:line="360" w:lineRule="auto"/>
        <w:rPr>
          <w:rFonts w:ascii="宋体" w:cs="宋体"/>
          <w:sz w:val="24"/>
        </w:rPr>
      </w:pPr>
      <w:r>
        <w:rPr>
          <w:rFonts w:ascii="宋体" w:hAnsi="宋体" w:cs="宋体"/>
          <w:sz w:val="24"/>
        </w:rPr>
        <w:t>1.1.3</w:t>
      </w:r>
      <w:r>
        <w:rPr>
          <w:rFonts w:hint="eastAsia" w:ascii="宋体" w:hAnsi="宋体" w:cs="宋体"/>
          <w:sz w:val="24"/>
        </w:rPr>
        <w:t>本招标项目招标代理机构：见投标人须知前附表。</w:t>
      </w:r>
    </w:p>
    <w:p>
      <w:pPr>
        <w:spacing w:line="360" w:lineRule="auto"/>
        <w:rPr>
          <w:rFonts w:ascii="宋体" w:cs="宋体"/>
          <w:sz w:val="24"/>
        </w:rPr>
      </w:pPr>
      <w:r>
        <w:rPr>
          <w:rFonts w:ascii="宋体" w:hAnsi="宋体" w:cs="宋体"/>
          <w:sz w:val="24"/>
        </w:rPr>
        <w:t>1.1.4</w:t>
      </w:r>
      <w:r>
        <w:rPr>
          <w:rFonts w:hint="eastAsia" w:ascii="宋体" w:hAnsi="宋体" w:cs="宋体"/>
          <w:sz w:val="24"/>
        </w:rPr>
        <w:t>本招标项目名称：见投标人须知前附表。</w:t>
      </w:r>
    </w:p>
    <w:p>
      <w:pPr>
        <w:pStyle w:val="6"/>
        <w:keepNext w:val="0"/>
        <w:keepLines w:val="0"/>
        <w:spacing w:before="60" w:after="60" w:line="360" w:lineRule="auto"/>
        <w:ind w:firstLine="0" w:firstLineChars="0"/>
        <w:rPr>
          <w:rFonts w:ascii="宋体" w:hAnsi="宋体" w:eastAsia="宋体" w:cs="宋体"/>
          <w:szCs w:val="24"/>
        </w:rPr>
      </w:pPr>
      <w:bookmarkStart w:id="50" w:name="_Toc387526377"/>
      <w:bookmarkStart w:id="51" w:name="_Toc508918239"/>
      <w:bookmarkStart w:id="52" w:name="_Toc11796"/>
      <w:bookmarkStart w:id="53" w:name="_Toc387526181"/>
      <w:bookmarkStart w:id="54" w:name="_Toc387526285"/>
      <w:bookmarkStart w:id="55" w:name="_Toc500510925"/>
      <w:r>
        <w:rPr>
          <w:rFonts w:ascii="宋体" w:hAnsi="宋体" w:eastAsia="宋体" w:cs="宋体"/>
          <w:szCs w:val="24"/>
        </w:rPr>
        <w:t xml:space="preserve">1.2 </w:t>
      </w:r>
      <w:r>
        <w:rPr>
          <w:rFonts w:hint="eastAsia" w:ascii="宋体" w:hAnsi="宋体" w:eastAsia="宋体" w:cs="宋体"/>
          <w:szCs w:val="24"/>
        </w:rPr>
        <w:t>资金来源和落实情况</w:t>
      </w:r>
      <w:bookmarkEnd w:id="50"/>
      <w:bookmarkEnd w:id="51"/>
      <w:bookmarkEnd w:id="52"/>
      <w:bookmarkEnd w:id="53"/>
      <w:bookmarkEnd w:id="54"/>
      <w:bookmarkEnd w:id="55"/>
    </w:p>
    <w:p>
      <w:pPr>
        <w:spacing w:line="360" w:lineRule="auto"/>
        <w:rPr>
          <w:rFonts w:ascii="宋体" w:cs="宋体"/>
          <w:sz w:val="24"/>
        </w:rPr>
      </w:pPr>
      <w:r>
        <w:rPr>
          <w:rFonts w:ascii="宋体" w:hAnsi="宋体" w:cs="宋体"/>
          <w:sz w:val="24"/>
        </w:rPr>
        <w:t>1.2.1</w:t>
      </w:r>
      <w:r>
        <w:rPr>
          <w:rFonts w:hint="eastAsia" w:ascii="宋体" w:hAnsi="宋体" w:cs="宋体"/>
          <w:sz w:val="24"/>
        </w:rPr>
        <w:t>本招标项目的资金来源：见投标人须知前附表。</w:t>
      </w:r>
    </w:p>
    <w:p>
      <w:pPr>
        <w:spacing w:line="360" w:lineRule="auto"/>
        <w:rPr>
          <w:rFonts w:ascii="宋体" w:cs="宋体"/>
          <w:sz w:val="24"/>
        </w:rPr>
      </w:pPr>
      <w:r>
        <w:rPr>
          <w:rFonts w:ascii="宋体" w:hAnsi="宋体" w:cs="宋体"/>
          <w:sz w:val="24"/>
        </w:rPr>
        <w:t>1.2.2</w:t>
      </w:r>
      <w:r>
        <w:rPr>
          <w:rFonts w:hint="eastAsia" w:ascii="宋体" w:hAnsi="宋体" w:cs="宋体"/>
          <w:sz w:val="24"/>
        </w:rPr>
        <w:t>本招标项目的出资比例：见投标人须知前附表。</w:t>
      </w:r>
    </w:p>
    <w:p>
      <w:pPr>
        <w:spacing w:line="360" w:lineRule="auto"/>
        <w:rPr>
          <w:rFonts w:ascii="宋体" w:cs="宋体"/>
          <w:sz w:val="24"/>
        </w:rPr>
      </w:pPr>
      <w:r>
        <w:rPr>
          <w:rFonts w:ascii="宋体" w:hAnsi="宋体" w:cs="宋体"/>
          <w:sz w:val="24"/>
        </w:rPr>
        <w:t>1.2.3</w:t>
      </w:r>
      <w:r>
        <w:rPr>
          <w:rFonts w:hint="eastAsia" w:ascii="宋体" w:hAnsi="宋体" w:cs="宋体"/>
          <w:sz w:val="24"/>
        </w:rPr>
        <w:t>本招标项目的资金落实情况：见投标人须知前附表。</w:t>
      </w:r>
    </w:p>
    <w:p>
      <w:pPr>
        <w:pStyle w:val="6"/>
        <w:keepNext w:val="0"/>
        <w:keepLines w:val="0"/>
        <w:spacing w:before="60" w:after="60" w:line="360" w:lineRule="auto"/>
        <w:ind w:firstLine="0" w:firstLineChars="0"/>
        <w:rPr>
          <w:rFonts w:ascii="宋体" w:hAnsi="宋体" w:eastAsia="宋体" w:cs="宋体"/>
          <w:szCs w:val="24"/>
        </w:rPr>
      </w:pPr>
      <w:bookmarkStart w:id="56" w:name="_Toc387526378"/>
      <w:bookmarkStart w:id="57" w:name="_Toc387526182"/>
      <w:bookmarkStart w:id="58" w:name="_Toc500510926"/>
      <w:bookmarkStart w:id="59" w:name="_Toc508918240"/>
      <w:bookmarkStart w:id="60" w:name="_Toc853"/>
      <w:bookmarkStart w:id="61" w:name="_Toc387526286"/>
      <w:r>
        <w:rPr>
          <w:rFonts w:ascii="宋体" w:hAnsi="宋体" w:eastAsia="宋体" w:cs="宋体"/>
          <w:szCs w:val="24"/>
        </w:rPr>
        <w:t xml:space="preserve">1.3 </w:t>
      </w:r>
      <w:r>
        <w:rPr>
          <w:rFonts w:hint="eastAsia" w:ascii="宋体" w:hAnsi="宋体" w:eastAsia="宋体" w:cs="宋体"/>
          <w:szCs w:val="24"/>
        </w:rPr>
        <w:t>招标范围、交货期或工期和质量要求</w:t>
      </w:r>
      <w:bookmarkEnd w:id="56"/>
      <w:bookmarkEnd w:id="57"/>
      <w:bookmarkEnd w:id="58"/>
      <w:bookmarkEnd w:id="59"/>
      <w:bookmarkEnd w:id="60"/>
      <w:bookmarkEnd w:id="61"/>
    </w:p>
    <w:p>
      <w:pPr>
        <w:spacing w:line="360" w:lineRule="auto"/>
        <w:rPr>
          <w:rFonts w:ascii="宋体" w:cs="宋体"/>
          <w:sz w:val="24"/>
        </w:rPr>
      </w:pPr>
      <w:r>
        <w:rPr>
          <w:rFonts w:ascii="宋体" w:hAnsi="宋体" w:cs="宋体"/>
          <w:sz w:val="24"/>
        </w:rPr>
        <w:t>1.3.1</w:t>
      </w:r>
      <w:r>
        <w:rPr>
          <w:rFonts w:hint="eastAsia" w:ascii="宋体" w:hAnsi="宋体" w:cs="宋体"/>
          <w:sz w:val="24"/>
        </w:rPr>
        <w:t>本次招标范围：见投标人须知前附表。</w:t>
      </w:r>
    </w:p>
    <w:p>
      <w:pPr>
        <w:spacing w:line="360" w:lineRule="auto"/>
        <w:rPr>
          <w:rFonts w:ascii="宋体" w:cs="宋体"/>
          <w:sz w:val="24"/>
        </w:rPr>
      </w:pPr>
      <w:r>
        <w:rPr>
          <w:rFonts w:ascii="宋体" w:hAnsi="宋体" w:cs="宋体"/>
          <w:sz w:val="24"/>
        </w:rPr>
        <w:t>1.3.2</w:t>
      </w:r>
      <w:r>
        <w:rPr>
          <w:rFonts w:hint="eastAsia" w:ascii="宋体" w:hAnsi="宋体" w:cs="宋体"/>
          <w:sz w:val="24"/>
        </w:rPr>
        <w:t>本招标项目的交货期或工期：见投标人须知前附表。</w:t>
      </w:r>
    </w:p>
    <w:p>
      <w:pPr>
        <w:spacing w:line="360" w:lineRule="auto"/>
        <w:rPr>
          <w:rFonts w:ascii="宋体" w:cs="宋体"/>
          <w:sz w:val="24"/>
        </w:rPr>
      </w:pPr>
      <w:r>
        <w:rPr>
          <w:rFonts w:ascii="宋体" w:hAnsi="宋体" w:cs="宋体"/>
          <w:sz w:val="24"/>
        </w:rPr>
        <w:t>1.3.3</w:t>
      </w:r>
      <w:r>
        <w:rPr>
          <w:rFonts w:hint="eastAsia" w:ascii="宋体" w:hAnsi="宋体" w:cs="宋体"/>
          <w:sz w:val="24"/>
        </w:rPr>
        <w:t>本招标项目的交货地点：见投标人须知前附表。</w:t>
      </w:r>
    </w:p>
    <w:p>
      <w:pPr>
        <w:spacing w:line="360" w:lineRule="auto"/>
        <w:rPr>
          <w:rFonts w:ascii="宋体" w:cs="宋体"/>
          <w:sz w:val="24"/>
        </w:rPr>
      </w:pPr>
      <w:r>
        <w:rPr>
          <w:rFonts w:ascii="宋体" w:hAnsi="宋体" w:cs="宋体"/>
          <w:sz w:val="24"/>
        </w:rPr>
        <w:t>1.3.4</w:t>
      </w:r>
      <w:r>
        <w:rPr>
          <w:rFonts w:hint="eastAsia" w:ascii="宋体" w:hAnsi="宋体" w:cs="宋体"/>
          <w:sz w:val="24"/>
        </w:rPr>
        <w:t>本招标项目的质量要求及验收标准：见投标人须知前附表。</w:t>
      </w:r>
    </w:p>
    <w:p>
      <w:pPr>
        <w:pStyle w:val="6"/>
        <w:keepNext w:val="0"/>
        <w:keepLines w:val="0"/>
        <w:spacing w:before="60" w:after="60" w:line="360" w:lineRule="auto"/>
        <w:ind w:firstLine="0" w:firstLineChars="0"/>
        <w:rPr>
          <w:rFonts w:ascii="宋体" w:hAnsi="宋体" w:eastAsia="宋体" w:cs="宋体"/>
          <w:szCs w:val="24"/>
        </w:rPr>
      </w:pPr>
      <w:bookmarkStart w:id="62" w:name="_Toc500510927"/>
      <w:bookmarkStart w:id="63" w:name="_Toc387526183"/>
      <w:bookmarkStart w:id="64" w:name="_Toc387526287"/>
      <w:bookmarkStart w:id="65" w:name="_Toc508918241"/>
      <w:bookmarkStart w:id="66" w:name="_Toc13930"/>
      <w:bookmarkStart w:id="67" w:name="_Toc387526379"/>
      <w:r>
        <w:rPr>
          <w:rFonts w:ascii="宋体" w:hAnsi="宋体" w:eastAsia="宋体" w:cs="宋体"/>
          <w:szCs w:val="24"/>
        </w:rPr>
        <w:t xml:space="preserve">1.4 </w:t>
      </w:r>
      <w:r>
        <w:rPr>
          <w:rFonts w:hint="eastAsia" w:ascii="宋体" w:hAnsi="宋体" w:eastAsia="宋体" w:cs="宋体"/>
          <w:szCs w:val="24"/>
        </w:rPr>
        <w:t>投标人资格要求</w:t>
      </w:r>
      <w:bookmarkEnd w:id="62"/>
      <w:bookmarkEnd w:id="63"/>
      <w:bookmarkEnd w:id="64"/>
      <w:bookmarkEnd w:id="65"/>
      <w:bookmarkEnd w:id="66"/>
      <w:bookmarkEnd w:id="67"/>
    </w:p>
    <w:p>
      <w:pPr>
        <w:autoSpaceDE w:val="0"/>
        <w:autoSpaceDN w:val="0"/>
        <w:adjustRightInd w:val="0"/>
        <w:spacing w:line="360" w:lineRule="auto"/>
        <w:jc w:val="left"/>
        <w:rPr>
          <w:rFonts w:ascii="宋体" w:cs="宋体"/>
          <w:sz w:val="24"/>
        </w:rPr>
      </w:pPr>
      <w:r>
        <w:rPr>
          <w:rFonts w:ascii="宋体" w:hAnsi="宋体" w:cs="宋体"/>
          <w:sz w:val="24"/>
        </w:rPr>
        <w:t>1.4.1</w:t>
      </w:r>
      <w:r>
        <w:rPr>
          <w:rFonts w:hint="eastAsia" w:ascii="宋体" w:hAnsi="宋体" w:cs="宋体"/>
          <w:sz w:val="24"/>
        </w:rPr>
        <w:t xml:space="preserve"> </w:t>
      </w:r>
      <w:r>
        <w:rPr>
          <w:rFonts w:hint="eastAsia" w:ascii="宋体" w:hAnsi="宋体"/>
          <w:sz w:val="24"/>
        </w:rPr>
        <w:t>投标人应具备的资格要求见投标人须知前附表及招标公告</w:t>
      </w:r>
      <w:r>
        <w:rPr>
          <w:rFonts w:hint="eastAsia" w:ascii="宋体" w:hAnsi="宋体" w:cs="宋体"/>
          <w:sz w:val="24"/>
        </w:rPr>
        <w:t>。</w:t>
      </w:r>
    </w:p>
    <w:p>
      <w:pPr>
        <w:autoSpaceDE w:val="0"/>
        <w:autoSpaceDN w:val="0"/>
        <w:adjustRightInd w:val="0"/>
        <w:spacing w:line="360" w:lineRule="auto"/>
        <w:jc w:val="left"/>
        <w:rPr>
          <w:rFonts w:ascii="宋体" w:hAnsi="宋体" w:cs="宋体"/>
          <w:sz w:val="24"/>
        </w:rPr>
      </w:pPr>
      <w:r>
        <w:rPr>
          <w:rFonts w:ascii="宋体" w:hAnsi="宋体" w:cs="宋体"/>
          <w:sz w:val="24"/>
        </w:rPr>
        <w:t xml:space="preserve">1.4.2 </w:t>
      </w:r>
      <w:r>
        <w:rPr>
          <w:rFonts w:hint="eastAsia" w:ascii="宋体" w:hAnsi="宋体" w:cs="宋体"/>
          <w:sz w:val="24"/>
        </w:rPr>
        <w:t>投标人须知前附表规定接受联合体投标的，除应符合本章第</w:t>
      </w:r>
      <w:r>
        <w:rPr>
          <w:rFonts w:ascii="宋体" w:hAnsi="宋体" w:cs="宋体"/>
          <w:sz w:val="24"/>
        </w:rPr>
        <w:t>1.4.1</w:t>
      </w:r>
      <w:r>
        <w:rPr>
          <w:rFonts w:hint="eastAsia" w:ascii="宋体" w:hAnsi="宋体" w:cs="宋体"/>
          <w:sz w:val="24"/>
        </w:rPr>
        <w:t>项和投标人须知前附表的要求外，还应遵守以下规定：（本工程不适用）</w:t>
      </w:r>
    </w:p>
    <w:p>
      <w:pPr>
        <w:autoSpaceDE w:val="0"/>
        <w:autoSpaceDN w:val="0"/>
        <w:adjustRightInd w:val="0"/>
        <w:spacing w:line="360" w:lineRule="auto"/>
        <w:jc w:val="left"/>
        <w:rPr>
          <w:rFonts w:ascii="宋体" w:hAnsi="宋体" w:cs="宋体"/>
          <w:sz w:val="24"/>
        </w:rPr>
      </w:pPr>
      <w:r>
        <w:rPr>
          <w:rFonts w:hint="eastAsia" w:ascii="宋体" w:hAnsi="宋体" w:cs="宋体"/>
          <w:sz w:val="24"/>
        </w:rPr>
        <w:t>（1）联合体各方应按招标文件提供的格式签订联合体协议书，明确联合体牵头人和各方的权利义务；</w:t>
      </w:r>
    </w:p>
    <w:p>
      <w:pPr>
        <w:autoSpaceDE w:val="0"/>
        <w:autoSpaceDN w:val="0"/>
        <w:adjustRightInd w:val="0"/>
        <w:spacing w:line="360" w:lineRule="auto"/>
        <w:jc w:val="left"/>
        <w:rPr>
          <w:rFonts w:ascii="宋体" w:hAnsi="宋体" w:cs="宋体"/>
          <w:sz w:val="24"/>
        </w:rPr>
      </w:pPr>
      <w:r>
        <w:rPr>
          <w:rFonts w:hint="eastAsia" w:ascii="宋体" w:hAnsi="宋体" w:cs="宋体"/>
          <w:sz w:val="24"/>
        </w:rPr>
        <w:t>（2）由同一专业的单位组成的联合体，按照资质等级较低的单位确定资质等级；</w:t>
      </w:r>
    </w:p>
    <w:p>
      <w:pPr>
        <w:autoSpaceDE w:val="0"/>
        <w:autoSpaceDN w:val="0"/>
        <w:adjustRightInd w:val="0"/>
        <w:spacing w:line="360" w:lineRule="auto"/>
        <w:jc w:val="left"/>
        <w:rPr>
          <w:rFonts w:ascii="宋体" w:hAnsi="宋体" w:cs="宋体"/>
          <w:sz w:val="24"/>
        </w:rPr>
      </w:pPr>
      <w:r>
        <w:rPr>
          <w:rFonts w:hint="eastAsia" w:ascii="宋体" w:hAnsi="宋体" w:cs="宋体"/>
          <w:sz w:val="24"/>
        </w:rPr>
        <w:t>（3）联合体各方不得再以自己名义单独或加入其他联合体在同一标段中参加投标。</w:t>
      </w:r>
    </w:p>
    <w:p>
      <w:pPr>
        <w:spacing w:line="360" w:lineRule="auto"/>
        <w:rPr>
          <w:rFonts w:ascii="宋体" w:cs="宋体"/>
          <w:sz w:val="24"/>
        </w:rPr>
      </w:pPr>
      <w:r>
        <w:rPr>
          <w:rFonts w:ascii="宋体" w:hAnsi="宋体" w:cs="宋体"/>
          <w:sz w:val="24"/>
        </w:rPr>
        <w:t xml:space="preserve">1.4.3 </w:t>
      </w:r>
      <w:r>
        <w:rPr>
          <w:rFonts w:hint="eastAsia" w:ascii="宋体" w:hAnsi="宋体" w:cs="宋体"/>
          <w:sz w:val="24"/>
        </w:rPr>
        <w:t>投标人不得存在下列情形之一：</w:t>
      </w:r>
    </w:p>
    <w:p>
      <w:pPr>
        <w:spacing w:line="360" w:lineRule="auto"/>
        <w:rPr>
          <w:rFonts w:ascii="宋体" w:cs="宋体"/>
          <w:sz w:val="24"/>
        </w:rPr>
      </w:pPr>
      <w:bookmarkStart w:id="68" w:name="_Toc387526184"/>
      <w:bookmarkStart w:id="69" w:name="_Toc387526288"/>
      <w:bookmarkStart w:id="70" w:name="_Toc387526380"/>
      <w:bookmarkStart w:id="71" w:name="_Toc1684"/>
      <w:r>
        <w:rPr>
          <w:rFonts w:hint="eastAsia" w:ascii="宋体" w:hAnsi="宋体" w:cs="宋体"/>
          <w:sz w:val="24"/>
        </w:rPr>
        <w:t>（</w:t>
      </w:r>
      <w:r>
        <w:rPr>
          <w:rFonts w:ascii="宋体" w:hAnsi="宋体" w:cs="宋体"/>
          <w:sz w:val="24"/>
        </w:rPr>
        <w:t>1</w:t>
      </w:r>
      <w:r>
        <w:rPr>
          <w:rFonts w:hint="eastAsia" w:ascii="宋体" w:hAnsi="宋体" w:cs="宋体"/>
          <w:sz w:val="24"/>
        </w:rPr>
        <w:t>）为招标人的附属机构（单位）；</w:t>
      </w:r>
    </w:p>
    <w:p>
      <w:pPr>
        <w:spacing w:line="360" w:lineRule="auto"/>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）为本标段前期准备提供设计或咨询服务的，但两阶段招标的除外；</w:t>
      </w:r>
    </w:p>
    <w:p>
      <w:pPr>
        <w:spacing w:line="360" w:lineRule="auto"/>
        <w:rPr>
          <w:rFonts w:asci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）为本标段的监理人；</w:t>
      </w:r>
    </w:p>
    <w:p>
      <w:pPr>
        <w:spacing w:line="360" w:lineRule="auto"/>
        <w:rPr>
          <w:rFonts w:asci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）为本标段的代建人；</w:t>
      </w:r>
    </w:p>
    <w:p>
      <w:pPr>
        <w:spacing w:line="360" w:lineRule="auto"/>
        <w:rPr>
          <w:rFonts w:ascii="宋体" w:cs="宋体"/>
          <w:sz w:val="24"/>
        </w:rPr>
      </w:pPr>
      <w:r>
        <w:rPr>
          <w:rFonts w:hint="eastAsia" w:ascii="宋体" w:hAnsi="宋体" w:cs="宋体"/>
          <w:sz w:val="24"/>
        </w:rPr>
        <w:t>（</w:t>
      </w:r>
      <w:r>
        <w:rPr>
          <w:rFonts w:ascii="宋体" w:hAnsi="宋体" w:cs="宋体"/>
          <w:sz w:val="24"/>
        </w:rPr>
        <w:t>5</w:t>
      </w:r>
      <w:r>
        <w:rPr>
          <w:rFonts w:hint="eastAsia" w:ascii="宋体" w:hAnsi="宋体" w:cs="宋体"/>
          <w:sz w:val="24"/>
        </w:rPr>
        <w:t>）为本标段提供招标代理服务的；</w:t>
      </w:r>
    </w:p>
    <w:p>
      <w:pPr>
        <w:spacing w:line="360" w:lineRule="auto"/>
        <w:rPr>
          <w:rFonts w:ascii="宋体" w:cs="宋体"/>
          <w:sz w:val="24"/>
        </w:rPr>
      </w:pPr>
      <w:r>
        <w:rPr>
          <w:rFonts w:hint="eastAsia" w:ascii="宋体" w:hAnsi="宋体" w:cs="宋体"/>
          <w:sz w:val="24"/>
        </w:rPr>
        <w:t>（</w:t>
      </w:r>
      <w:r>
        <w:rPr>
          <w:rFonts w:ascii="宋体" w:hAnsi="宋体" w:cs="宋体"/>
          <w:sz w:val="24"/>
        </w:rPr>
        <w:t>6</w:t>
      </w:r>
      <w:r>
        <w:rPr>
          <w:rFonts w:hint="eastAsia" w:ascii="宋体" w:hAnsi="宋体" w:cs="宋体"/>
          <w:sz w:val="24"/>
        </w:rPr>
        <w:t>）与本标段的监理人或代建人或招标代理机构的单位负责人为同一个人的；</w:t>
      </w:r>
    </w:p>
    <w:p>
      <w:pPr>
        <w:spacing w:line="360" w:lineRule="auto"/>
        <w:rPr>
          <w:rFonts w:ascii="宋体" w:cs="宋体"/>
          <w:sz w:val="24"/>
        </w:rPr>
      </w:pPr>
      <w:r>
        <w:rPr>
          <w:rFonts w:hint="eastAsia" w:ascii="宋体" w:hAnsi="宋体" w:cs="宋体"/>
          <w:sz w:val="24"/>
        </w:rPr>
        <w:t>（</w:t>
      </w:r>
      <w:r>
        <w:rPr>
          <w:rFonts w:ascii="宋体" w:hAnsi="宋体" w:cs="宋体"/>
          <w:sz w:val="24"/>
        </w:rPr>
        <w:t>7</w:t>
      </w:r>
      <w:r>
        <w:rPr>
          <w:rFonts w:hint="eastAsia" w:ascii="宋体" w:hAnsi="宋体" w:cs="宋体"/>
          <w:sz w:val="24"/>
        </w:rPr>
        <w:t>）与本标段的监理人或代建人或招标代理机构相互控股或参股的；</w:t>
      </w:r>
    </w:p>
    <w:p>
      <w:pPr>
        <w:spacing w:line="360" w:lineRule="auto"/>
        <w:rPr>
          <w:rFonts w:ascii="宋体" w:cs="宋体"/>
          <w:sz w:val="24"/>
        </w:rPr>
      </w:pPr>
      <w:r>
        <w:rPr>
          <w:rFonts w:hint="eastAsia" w:ascii="宋体" w:hAnsi="宋体" w:cs="宋体"/>
          <w:sz w:val="24"/>
        </w:rPr>
        <w:t>（</w:t>
      </w:r>
      <w:r>
        <w:rPr>
          <w:rFonts w:ascii="宋体" w:hAnsi="宋体" w:cs="宋体"/>
          <w:sz w:val="24"/>
        </w:rPr>
        <w:t>8</w:t>
      </w:r>
      <w:r>
        <w:rPr>
          <w:rFonts w:hint="eastAsia" w:ascii="宋体" w:hAnsi="宋体" w:cs="宋体"/>
          <w:sz w:val="24"/>
        </w:rPr>
        <w:t>）与本标段的其他申请人的单位负责人为同一个人的；</w:t>
      </w:r>
    </w:p>
    <w:p>
      <w:pPr>
        <w:spacing w:line="360" w:lineRule="auto"/>
        <w:rPr>
          <w:rFonts w:ascii="宋体" w:cs="宋体"/>
          <w:sz w:val="24"/>
        </w:rPr>
      </w:pPr>
      <w:r>
        <w:rPr>
          <w:rFonts w:hint="eastAsia" w:ascii="宋体" w:hAnsi="宋体" w:cs="宋体"/>
          <w:sz w:val="24"/>
        </w:rPr>
        <w:t>（</w:t>
      </w:r>
      <w:r>
        <w:rPr>
          <w:rFonts w:ascii="宋体" w:hAnsi="宋体" w:cs="宋体"/>
          <w:sz w:val="24"/>
        </w:rPr>
        <w:t>9</w:t>
      </w:r>
      <w:r>
        <w:rPr>
          <w:rFonts w:hint="eastAsia" w:ascii="宋体" w:hAnsi="宋体" w:cs="宋体"/>
          <w:sz w:val="24"/>
        </w:rPr>
        <w:t>）与本标段的其他申请人之间存在控股、管理关系或母公司、全资子公司关系的；</w:t>
      </w:r>
    </w:p>
    <w:p>
      <w:pPr>
        <w:spacing w:line="360" w:lineRule="auto"/>
        <w:rPr>
          <w:rFonts w:ascii="宋体" w:cs="宋体"/>
          <w:sz w:val="24"/>
        </w:rPr>
      </w:pPr>
      <w:r>
        <w:rPr>
          <w:rFonts w:hint="eastAsia" w:ascii="宋体" w:hAnsi="宋体" w:cs="宋体"/>
          <w:sz w:val="24"/>
        </w:rPr>
        <w:t>（</w:t>
      </w:r>
      <w:r>
        <w:rPr>
          <w:rFonts w:ascii="宋体" w:hAnsi="宋体" w:cs="宋体"/>
          <w:sz w:val="24"/>
        </w:rPr>
        <w:t>10</w:t>
      </w:r>
      <w:r>
        <w:rPr>
          <w:rFonts w:hint="eastAsia" w:ascii="宋体" w:hAnsi="宋体" w:cs="宋体"/>
          <w:sz w:val="24"/>
        </w:rPr>
        <w:t>）法律法规规定的其他情形。</w:t>
      </w:r>
    </w:p>
    <w:p>
      <w:pPr>
        <w:pStyle w:val="6"/>
        <w:keepNext w:val="0"/>
        <w:keepLines w:val="0"/>
        <w:spacing w:before="60" w:after="60" w:line="360" w:lineRule="auto"/>
        <w:ind w:firstLine="0" w:firstLineChars="0"/>
        <w:rPr>
          <w:rFonts w:ascii="宋体" w:hAnsi="宋体" w:eastAsia="宋体" w:cs="宋体"/>
          <w:szCs w:val="24"/>
        </w:rPr>
      </w:pPr>
      <w:bookmarkStart w:id="72" w:name="_Toc500510928"/>
      <w:bookmarkStart w:id="73" w:name="_Toc508918242"/>
      <w:r>
        <w:rPr>
          <w:rFonts w:ascii="宋体" w:hAnsi="宋体" w:eastAsia="宋体" w:cs="宋体"/>
          <w:szCs w:val="24"/>
        </w:rPr>
        <w:t xml:space="preserve">1.5 </w:t>
      </w:r>
      <w:r>
        <w:rPr>
          <w:rFonts w:hint="eastAsia" w:ascii="宋体" w:hAnsi="宋体" w:eastAsia="宋体" w:cs="宋体"/>
          <w:szCs w:val="24"/>
        </w:rPr>
        <w:t>费用承担</w:t>
      </w:r>
      <w:bookmarkEnd w:id="68"/>
      <w:bookmarkEnd w:id="69"/>
      <w:bookmarkEnd w:id="70"/>
      <w:bookmarkEnd w:id="71"/>
      <w:bookmarkEnd w:id="72"/>
      <w:bookmarkEnd w:id="73"/>
    </w:p>
    <w:p>
      <w:pPr>
        <w:autoSpaceDE w:val="0"/>
        <w:autoSpaceDN w:val="0"/>
        <w:adjustRightInd w:val="0"/>
        <w:snapToGrid w:val="0"/>
        <w:spacing w:line="360" w:lineRule="auto"/>
        <w:jc w:val="left"/>
        <w:rPr>
          <w:rFonts w:ascii="宋体" w:cs="宋体"/>
          <w:kern w:val="0"/>
          <w:sz w:val="24"/>
        </w:rPr>
      </w:pPr>
      <w:r>
        <w:rPr>
          <w:rFonts w:hint="eastAsia" w:ascii="宋体" w:hAnsi="宋体" w:cs="宋体"/>
          <w:kern w:val="0"/>
          <w:sz w:val="24"/>
        </w:rPr>
        <w:t>投标人准备和参加投标活动发生的费用自理。</w:t>
      </w:r>
    </w:p>
    <w:p>
      <w:pPr>
        <w:autoSpaceDE w:val="0"/>
        <w:autoSpaceDN w:val="0"/>
        <w:adjustRightInd w:val="0"/>
        <w:spacing w:line="360" w:lineRule="auto"/>
        <w:jc w:val="left"/>
        <w:rPr>
          <w:rFonts w:ascii="宋体" w:cs="宋体"/>
          <w:kern w:val="0"/>
          <w:sz w:val="24"/>
        </w:rPr>
      </w:pPr>
      <w:r>
        <w:rPr>
          <w:rFonts w:hint="eastAsia" w:ascii="宋体" w:hAnsi="宋体" w:cs="宋体"/>
          <w:kern w:val="0"/>
          <w:sz w:val="24"/>
        </w:rPr>
        <w:t>投标人应承担其编制投标文件以及递交投标文件所涉及的一切费用。</w:t>
      </w:r>
    </w:p>
    <w:p>
      <w:pPr>
        <w:pStyle w:val="6"/>
        <w:keepNext w:val="0"/>
        <w:keepLines w:val="0"/>
        <w:spacing w:before="60" w:after="60" w:line="360" w:lineRule="auto"/>
        <w:ind w:firstLine="0" w:firstLineChars="0"/>
        <w:rPr>
          <w:rFonts w:hint="eastAsia" w:ascii="宋体" w:hAnsi="宋体" w:eastAsia="宋体" w:cs="宋体"/>
          <w:b/>
          <w:bCs/>
          <w:color w:val="auto"/>
          <w:sz w:val="24"/>
        </w:rPr>
      </w:pPr>
      <w:bookmarkStart w:id="74" w:name="_Toc508918243"/>
      <w:bookmarkStart w:id="75" w:name="_Toc5130"/>
      <w:bookmarkStart w:id="76" w:name="_Toc387526381"/>
      <w:bookmarkStart w:id="77" w:name="_Toc500510929"/>
      <w:bookmarkStart w:id="78" w:name="_Toc387526185"/>
      <w:bookmarkStart w:id="79" w:name="_Toc387526289"/>
      <w:r>
        <w:rPr>
          <w:rFonts w:hint="eastAsia" w:ascii="宋体" w:hAnsi="宋体" w:eastAsia="宋体" w:cs="宋体"/>
          <w:b/>
          <w:bCs/>
          <w:color w:val="auto"/>
          <w:sz w:val="24"/>
          <w:lang w:val="en-US" w:eastAsia="zh-CN"/>
        </w:rPr>
        <w:t>本项目</w:t>
      </w:r>
      <w:r>
        <w:rPr>
          <w:rFonts w:hint="eastAsia" w:ascii="宋体" w:hAnsi="宋体" w:eastAsia="宋体" w:cs="宋体"/>
          <w:b/>
          <w:bCs/>
          <w:color w:val="auto"/>
          <w:sz w:val="24"/>
        </w:rPr>
        <w:t>资料费为300元，</w:t>
      </w:r>
      <w:r>
        <w:rPr>
          <w:rFonts w:hint="eastAsia" w:ascii="宋体" w:hAnsi="宋体" w:eastAsia="宋体" w:cs="宋体"/>
          <w:b/>
          <w:bCs/>
          <w:color w:val="auto"/>
          <w:sz w:val="24"/>
          <w:lang w:val="en-US" w:eastAsia="zh-CN"/>
        </w:rPr>
        <w:t>于</w:t>
      </w:r>
      <w:r>
        <w:rPr>
          <w:rFonts w:hint="eastAsia" w:ascii="宋体" w:hAnsi="宋体" w:eastAsia="宋体" w:cs="宋体"/>
          <w:b/>
          <w:bCs/>
          <w:color w:val="auto"/>
          <w:sz w:val="24"/>
        </w:rPr>
        <w:t>递交</w:t>
      </w:r>
      <w:r>
        <w:rPr>
          <w:rFonts w:hint="eastAsia" w:ascii="宋体" w:hAnsi="宋体" w:eastAsia="宋体" w:cs="宋体"/>
          <w:b/>
          <w:bCs/>
          <w:color w:val="auto"/>
          <w:sz w:val="24"/>
          <w:lang w:val="en-US" w:eastAsia="zh-CN"/>
        </w:rPr>
        <w:t>投标</w:t>
      </w:r>
      <w:r>
        <w:rPr>
          <w:rFonts w:hint="eastAsia" w:ascii="宋体" w:hAnsi="宋体" w:eastAsia="宋体" w:cs="宋体"/>
          <w:b/>
          <w:bCs/>
          <w:color w:val="auto"/>
          <w:sz w:val="24"/>
        </w:rPr>
        <w:t>文件时</w:t>
      </w:r>
      <w:r>
        <w:rPr>
          <w:rFonts w:hint="eastAsia" w:ascii="宋体" w:hAnsi="宋体" w:eastAsia="宋体" w:cs="宋体"/>
          <w:b/>
          <w:bCs/>
          <w:color w:val="auto"/>
          <w:sz w:val="24"/>
          <w:lang w:val="en-US" w:eastAsia="zh-CN"/>
        </w:rPr>
        <w:t>递交</w:t>
      </w:r>
      <w:r>
        <w:rPr>
          <w:rFonts w:hint="eastAsia" w:ascii="宋体" w:hAnsi="宋体" w:eastAsia="宋体" w:cs="宋体"/>
          <w:b/>
          <w:bCs/>
          <w:color w:val="auto"/>
          <w:sz w:val="24"/>
        </w:rPr>
        <w:t>，请</w:t>
      </w:r>
      <w:r>
        <w:rPr>
          <w:rFonts w:hint="eastAsia" w:ascii="宋体" w:hAnsi="宋体" w:eastAsia="宋体" w:cs="宋体"/>
          <w:b/>
          <w:bCs/>
          <w:color w:val="auto"/>
          <w:sz w:val="24"/>
          <w:lang w:val="en-US" w:eastAsia="zh-CN"/>
        </w:rPr>
        <w:t>投标人</w:t>
      </w:r>
      <w:r>
        <w:rPr>
          <w:rFonts w:hint="eastAsia" w:ascii="宋体" w:hAnsi="宋体" w:eastAsia="宋体" w:cs="宋体"/>
          <w:b/>
          <w:bCs/>
          <w:color w:val="auto"/>
          <w:sz w:val="24"/>
        </w:rPr>
        <w:t>在成本中自行考虑</w:t>
      </w:r>
      <w:r>
        <w:rPr>
          <w:rFonts w:hint="eastAsia" w:ascii="宋体" w:hAnsi="宋体" w:eastAsia="宋体" w:cs="宋体"/>
          <w:b/>
          <w:bCs/>
          <w:color w:val="auto"/>
          <w:sz w:val="24"/>
          <w:lang w:eastAsia="zh-CN"/>
        </w:rPr>
        <w:t>。</w:t>
      </w:r>
      <w:r>
        <w:rPr>
          <w:rFonts w:hint="eastAsia" w:ascii="宋体" w:hAnsi="宋体" w:eastAsia="宋体" w:cs="宋体"/>
          <w:b/>
          <w:bCs/>
          <w:color w:val="auto"/>
          <w:sz w:val="24"/>
        </w:rPr>
        <w:t>无论结果如何，该费用概不退还。</w:t>
      </w:r>
    </w:p>
    <w:p>
      <w:pPr>
        <w:pStyle w:val="6"/>
        <w:keepNext w:val="0"/>
        <w:keepLines w:val="0"/>
        <w:spacing w:before="60" w:after="60" w:line="360" w:lineRule="auto"/>
        <w:ind w:firstLine="0" w:firstLineChars="0"/>
        <w:rPr>
          <w:rFonts w:ascii="宋体" w:hAnsi="宋体" w:eastAsia="宋体" w:cs="宋体"/>
          <w:szCs w:val="24"/>
        </w:rPr>
      </w:pPr>
      <w:r>
        <w:rPr>
          <w:rFonts w:ascii="宋体" w:hAnsi="宋体" w:eastAsia="宋体" w:cs="宋体"/>
          <w:szCs w:val="24"/>
        </w:rPr>
        <w:t xml:space="preserve">1.6 </w:t>
      </w:r>
      <w:r>
        <w:rPr>
          <w:rFonts w:hint="eastAsia" w:ascii="宋体" w:hAnsi="宋体" w:eastAsia="宋体" w:cs="宋体"/>
          <w:szCs w:val="24"/>
        </w:rPr>
        <w:t>保密</w:t>
      </w:r>
      <w:bookmarkEnd w:id="74"/>
      <w:bookmarkEnd w:id="75"/>
      <w:bookmarkEnd w:id="76"/>
      <w:bookmarkEnd w:id="77"/>
      <w:bookmarkEnd w:id="78"/>
      <w:bookmarkEnd w:id="79"/>
    </w:p>
    <w:p>
      <w:pPr>
        <w:spacing w:line="360" w:lineRule="auto"/>
        <w:rPr>
          <w:rFonts w:ascii="宋体" w:cs="宋体"/>
          <w:sz w:val="24"/>
        </w:rPr>
      </w:pPr>
      <w:r>
        <w:rPr>
          <w:rFonts w:hint="eastAsia" w:ascii="宋体" w:hAnsi="宋体" w:cs="宋体"/>
          <w:sz w:val="24"/>
        </w:rPr>
        <w:t>参与招标投标活动的各方应对招标文件和投标文件中的商业和技术等秘密保密，违者应对由此造成的后果承担法律责任。</w:t>
      </w:r>
    </w:p>
    <w:p>
      <w:pPr>
        <w:pStyle w:val="6"/>
        <w:keepNext w:val="0"/>
        <w:keepLines w:val="0"/>
        <w:spacing w:before="60" w:after="60" w:line="360" w:lineRule="auto"/>
        <w:ind w:firstLine="0" w:firstLineChars="0"/>
        <w:rPr>
          <w:rFonts w:ascii="宋体" w:hAnsi="宋体" w:eastAsia="宋体" w:cs="宋体"/>
          <w:szCs w:val="24"/>
        </w:rPr>
      </w:pPr>
      <w:bookmarkStart w:id="80" w:name="_Toc387526290"/>
      <w:bookmarkStart w:id="81" w:name="_Toc500510930"/>
      <w:bookmarkStart w:id="82" w:name="_Toc387526382"/>
      <w:bookmarkStart w:id="83" w:name="_Toc822"/>
      <w:bookmarkStart w:id="84" w:name="_Toc508918244"/>
      <w:bookmarkStart w:id="85" w:name="_Toc387526186"/>
      <w:r>
        <w:rPr>
          <w:rFonts w:ascii="宋体" w:hAnsi="宋体" w:eastAsia="宋体" w:cs="宋体"/>
          <w:szCs w:val="24"/>
        </w:rPr>
        <w:t xml:space="preserve">1.7 </w:t>
      </w:r>
      <w:r>
        <w:rPr>
          <w:rFonts w:hint="eastAsia" w:ascii="宋体" w:hAnsi="宋体" w:eastAsia="宋体" w:cs="宋体"/>
          <w:szCs w:val="24"/>
        </w:rPr>
        <w:t>语言文字</w:t>
      </w:r>
      <w:bookmarkEnd w:id="80"/>
      <w:bookmarkEnd w:id="81"/>
      <w:bookmarkEnd w:id="82"/>
      <w:bookmarkEnd w:id="83"/>
      <w:bookmarkEnd w:id="84"/>
      <w:bookmarkEnd w:id="85"/>
    </w:p>
    <w:p>
      <w:pPr>
        <w:spacing w:line="360" w:lineRule="auto"/>
        <w:rPr>
          <w:rFonts w:ascii="宋体" w:cs="宋体"/>
          <w:sz w:val="24"/>
        </w:rPr>
      </w:pPr>
      <w:r>
        <w:rPr>
          <w:rFonts w:hint="eastAsia" w:ascii="宋体" w:hAnsi="宋体" w:cs="宋体"/>
          <w:sz w:val="24"/>
        </w:rPr>
        <w:t>除专用术语外，与招标投标有关的语言均使用中文。必要时专用术语应附有中文注释。</w:t>
      </w:r>
    </w:p>
    <w:p>
      <w:pPr>
        <w:pStyle w:val="6"/>
        <w:keepNext w:val="0"/>
        <w:keepLines w:val="0"/>
        <w:spacing w:before="60" w:after="60" w:line="360" w:lineRule="auto"/>
        <w:ind w:firstLine="0" w:firstLineChars="0"/>
        <w:rPr>
          <w:rFonts w:ascii="宋体" w:hAnsi="宋体" w:eastAsia="宋体" w:cs="宋体"/>
          <w:szCs w:val="24"/>
        </w:rPr>
      </w:pPr>
      <w:bookmarkStart w:id="86" w:name="_Toc508918245"/>
      <w:bookmarkStart w:id="87" w:name="_Toc387526383"/>
      <w:bookmarkStart w:id="88" w:name="_Toc387526291"/>
      <w:bookmarkStart w:id="89" w:name="_Toc31413"/>
      <w:bookmarkStart w:id="90" w:name="_Toc387526187"/>
      <w:bookmarkStart w:id="91" w:name="_Toc500510931"/>
      <w:r>
        <w:rPr>
          <w:rFonts w:ascii="宋体" w:hAnsi="宋体" w:eastAsia="宋体" w:cs="宋体"/>
          <w:szCs w:val="24"/>
        </w:rPr>
        <w:t xml:space="preserve">1.8 </w:t>
      </w:r>
      <w:r>
        <w:rPr>
          <w:rFonts w:hint="eastAsia" w:ascii="宋体" w:hAnsi="宋体" w:eastAsia="宋体" w:cs="宋体"/>
          <w:szCs w:val="24"/>
        </w:rPr>
        <w:t>计量单位</w:t>
      </w:r>
      <w:bookmarkEnd w:id="86"/>
      <w:bookmarkEnd w:id="87"/>
      <w:bookmarkEnd w:id="88"/>
      <w:bookmarkEnd w:id="89"/>
      <w:bookmarkEnd w:id="90"/>
      <w:bookmarkEnd w:id="91"/>
    </w:p>
    <w:p>
      <w:pPr>
        <w:spacing w:line="360" w:lineRule="auto"/>
        <w:rPr>
          <w:rFonts w:ascii="宋体" w:cs="宋体"/>
          <w:sz w:val="24"/>
        </w:rPr>
      </w:pPr>
      <w:r>
        <w:rPr>
          <w:rFonts w:hint="eastAsia" w:ascii="宋体" w:hAnsi="宋体" w:cs="宋体"/>
          <w:sz w:val="24"/>
        </w:rPr>
        <w:t>所有计量均采用中华人民共和国法定计量单位。</w:t>
      </w:r>
    </w:p>
    <w:p>
      <w:pPr>
        <w:pStyle w:val="6"/>
        <w:keepNext w:val="0"/>
        <w:keepLines w:val="0"/>
        <w:spacing w:before="60" w:after="60" w:line="360" w:lineRule="auto"/>
        <w:ind w:firstLine="0" w:firstLineChars="0"/>
        <w:rPr>
          <w:rFonts w:ascii="宋体" w:hAnsi="宋体" w:eastAsia="宋体" w:cs="宋体"/>
          <w:szCs w:val="24"/>
        </w:rPr>
      </w:pPr>
      <w:bookmarkStart w:id="92" w:name="_Toc387526188"/>
      <w:bookmarkStart w:id="93" w:name="_Toc508918246"/>
      <w:bookmarkStart w:id="94" w:name="_Toc500510932"/>
      <w:bookmarkStart w:id="95" w:name="_Toc387526384"/>
      <w:bookmarkStart w:id="96" w:name="_Toc25122"/>
      <w:bookmarkStart w:id="97" w:name="_Toc387526292"/>
      <w:r>
        <w:rPr>
          <w:rFonts w:ascii="宋体" w:hAnsi="宋体" w:eastAsia="宋体" w:cs="宋体"/>
          <w:szCs w:val="24"/>
        </w:rPr>
        <w:t xml:space="preserve">1.9 </w:t>
      </w:r>
      <w:r>
        <w:rPr>
          <w:rFonts w:hint="eastAsia" w:ascii="宋体" w:hAnsi="宋体" w:eastAsia="宋体" w:cs="宋体"/>
          <w:szCs w:val="24"/>
        </w:rPr>
        <w:t>踏勘现场</w:t>
      </w:r>
      <w:bookmarkEnd w:id="92"/>
      <w:bookmarkEnd w:id="93"/>
      <w:bookmarkEnd w:id="94"/>
      <w:bookmarkEnd w:id="95"/>
      <w:bookmarkEnd w:id="96"/>
      <w:bookmarkEnd w:id="97"/>
    </w:p>
    <w:p>
      <w:pPr>
        <w:autoSpaceDE w:val="0"/>
        <w:autoSpaceDN w:val="0"/>
        <w:adjustRightInd w:val="0"/>
        <w:spacing w:line="360" w:lineRule="auto"/>
        <w:jc w:val="left"/>
        <w:rPr>
          <w:rFonts w:ascii="宋体" w:cs="宋体"/>
          <w:kern w:val="0"/>
          <w:sz w:val="24"/>
        </w:rPr>
      </w:pPr>
      <w:r>
        <w:rPr>
          <w:rFonts w:ascii="宋体" w:hAnsi="宋体" w:cs="宋体"/>
          <w:kern w:val="0"/>
          <w:sz w:val="24"/>
        </w:rPr>
        <w:t>1.9.1</w:t>
      </w:r>
      <w:r>
        <w:rPr>
          <w:rFonts w:hint="eastAsia" w:ascii="宋体" w:hAnsi="宋体" w:cs="宋体"/>
          <w:kern w:val="0"/>
          <w:sz w:val="24"/>
        </w:rPr>
        <w:t>招标人不组织投标人踏勘现场，投标人可以自行对工程施工现场和周围环境进行勘察，以获取编制投标文件和签署合同所需的所有资料。施工现场的联系方式见须知前附表。</w:t>
      </w:r>
    </w:p>
    <w:p>
      <w:pPr>
        <w:autoSpaceDE w:val="0"/>
        <w:autoSpaceDN w:val="0"/>
        <w:adjustRightInd w:val="0"/>
        <w:spacing w:line="360" w:lineRule="auto"/>
        <w:jc w:val="left"/>
        <w:rPr>
          <w:rFonts w:ascii="宋体" w:cs="宋体"/>
          <w:kern w:val="0"/>
          <w:sz w:val="24"/>
        </w:rPr>
      </w:pPr>
      <w:r>
        <w:rPr>
          <w:rFonts w:ascii="宋体" w:hAnsi="宋体" w:cs="宋体"/>
          <w:kern w:val="0"/>
          <w:sz w:val="24"/>
        </w:rPr>
        <w:t xml:space="preserve">1.9.2 </w:t>
      </w:r>
      <w:r>
        <w:rPr>
          <w:rFonts w:hint="eastAsia" w:ascii="宋体" w:hAnsi="宋体" w:cs="宋体"/>
          <w:kern w:val="0"/>
          <w:sz w:val="24"/>
        </w:rPr>
        <w:t>投标人踏勘现场发生的费用自理。</w:t>
      </w:r>
    </w:p>
    <w:p>
      <w:pPr>
        <w:autoSpaceDE w:val="0"/>
        <w:autoSpaceDN w:val="0"/>
        <w:adjustRightInd w:val="0"/>
        <w:spacing w:line="360" w:lineRule="auto"/>
        <w:jc w:val="left"/>
        <w:rPr>
          <w:rFonts w:ascii="宋体" w:cs="宋体"/>
          <w:kern w:val="0"/>
          <w:sz w:val="24"/>
        </w:rPr>
      </w:pPr>
      <w:r>
        <w:rPr>
          <w:rFonts w:ascii="宋体" w:hAnsi="宋体" w:cs="宋体"/>
          <w:kern w:val="0"/>
          <w:sz w:val="24"/>
        </w:rPr>
        <w:t xml:space="preserve">1.9.3 </w:t>
      </w:r>
      <w:r>
        <w:rPr>
          <w:rFonts w:hint="eastAsia" w:ascii="宋体" w:hAnsi="宋体" w:cs="宋体"/>
          <w:kern w:val="0"/>
          <w:sz w:val="24"/>
        </w:rPr>
        <w:t>除招标人的原因外，投标人自行负责在踏勘现场中所发生的人员伤亡和财产损失。</w:t>
      </w:r>
    </w:p>
    <w:p>
      <w:pPr>
        <w:autoSpaceDE w:val="0"/>
        <w:autoSpaceDN w:val="0"/>
        <w:adjustRightInd w:val="0"/>
        <w:spacing w:line="360" w:lineRule="auto"/>
        <w:jc w:val="left"/>
        <w:rPr>
          <w:rFonts w:ascii="宋体" w:cs="宋体"/>
          <w:kern w:val="0"/>
          <w:sz w:val="24"/>
        </w:rPr>
      </w:pPr>
      <w:r>
        <w:rPr>
          <w:rFonts w:ascii="宋体" w:hAnsi="宋体" w:cs="宋体"/>
          <w:kern w:val="0"/>
          <w:sz w:val="24"/>
        </w:rPr>
        <w:t xml:space="preserve">1.9.4 </w:t>
      </w:r>
      <w:r>
        <w:rPr>
          <w:rFonts w:hint="eastAsia" w:ascii="宋体" w:hAnsi="宋体" w:cs="宋体"/>
          <w:kern w:val="0"/>
          <w:sz w:val="24"/>
        </w:rPr>
        <w:t>招标人向投标人提供的有关施工现场的资料和数据是招标人现有的能使投标人利用的资料。招标人对投标人由此而做出的推论、理解和结论概不负责。</w:t>
      </w:r>
    </w:p>
    <w:p>
      <w:pPr>
        <w:pStyle w:val="6"/>
        <w:keepNext w:val="0"/>
        <w:keepLines w:val="0"/>
        <w:spacing w:before="60" w:after="60" w:line="360" w:lineRule="auto"/>
        <w:ind w:firstLine="0" w:firstLineChars="0"/>
        <w:rPr>
          <w:rFonts w:ascii="宋体" w:hAnsi="宋体" w:eastAsia="宋体" w:cs="宋体"/>
          <w:szCs w:val="24"/>
        </w:rPr>
      </w:pPr>
      <w:bookmarkStart w:id="98" w:name="_Toc11088"/>
      <w:bookmarkStart w:id="99" w:name="_Toc387526293"/>
      <w:bookmarkStart w:id="100" w:name="_Toc500510933"/>
      <w:bookmarkStart w:id="101" w:name="_Toc387526189"/>
      <w:bookmarkStart w:id="102" w:name="_Toc508918247"/>
      <w:bookmarkStart w:id="103" w:name="_Toc387526385"/>
      <w:r>
        <w:rPr>
          <w:rFonts w:ascii="宋体" w:hAnsi="宋体" w:eastAsia="宋体" w:cs="宋体"/>
          <w:szCs w:val="24"/>
        </w:rPr>
        <w:t xml:space="preserve">1.10 </w:t>
      </w:r>
      <w:r>
        <w:rPr>
          <w:rFonts w:hint="eastAsia" w:ascii="宋体" w:hAnsi="宋体" w:eastAsia="宋体" w:cs="宋体"/>
          <w:szCs w:val="24"/>
        </w:rPr>
        <w:t>投标预备会</w:t>
      </w:r>
      <w:bookmarkEnd w:id="98"/>
      <w:bookmarkEnd w:id="99"/>
      <w:bookmarkEnd w:id="100"/>
      <w:bookmarkEnd w:id="101"/>
      <w:bookmarkEnd w:id="102"/>
      <w:bookmarkEnd w:id="103"/>
    </w:p>
    <w:p>
      <w:pPr>
        <w:spacing w:line="360" w:lineRule="auto"/>
        <w:rPr>
          <w:rFonts w:ascii="宋体" w:hAnsi="宋体"/>
          <w:sz w:val="24"/>
        </w:rPr>
      </w:pPr>
      <w:r>
        <w:rPr>
          <w:rFonts w:hint="eastAsia" w:ascii="宋体" w:hAnsi="宋体"/>
          <w:sz w:val="24"/>
        </w:rPr>
        <w:t>1.10.1 投标人须知前附表规定召开投标预备会的，招标人按投标人须知前附表规定的时间和地点召开投标预备会，澄清投标人提出的问题。</w:t>
      </w:r>
    </w:p>
    <w:p>
      <w:pPr>
        <w:spacing w:line="360" w:lineRule="auto"/>
        <w:rPr>
          <w:rFonts w:ascii="宋体" w:hAnsi="宋体"/>
          <w:sz w:val="24"/>
        </w:rPr>
      </w:pPr>
      <w:r>
        <w:rPr>
          <w:rFonts w:hint="eastAsia" w:ascii="宋体" w:hAnsi="宋体"/>
          <w:sz w:val="24"/>
        </w:rPr>
        <w:t>1.10.2 投标人应在投标人须知前附表规定的时间前，以书面形式将提出的问题送达招标人，以便招标人在会议期间澄清。</w:t>
      </w:r>
    </w:p>
    <w:p>
      <w:pPr>
        <w:spacing w:line="360" w:lineRule="auto"/>
        <w:rPr>
          <w:rFonts w:ascii="宋体" w:cs="宋体"/>
          <w:sz w:val="24"/>
        </w:rPr>
      </w:pPr>
      <w:r>
        <w:rPr>
          <w:rFonts w:hint="eastAsia" w:ascii="宋体" w:hAnsi="宋体"/>
          <w:sz w:val="24"/>
        </w:rPr>
        <w:t>1.10.3 投标预备会后，招标人在投标人须知前附表规定的时间内，将对投标人所提问颗的澄清，以书面方式通知所有购买招标文件的投标人。该澄清内容为招标文件的组成部分。</w:t>
      </w:r>
    </w:p>
    <w:p>
      <w:pPr>
        <w:pStyle w:val="6"/>
        <w:keepNext w:val="0"/>
        <w:keepLines w:val="0"/>
        <w:spacing w:before="60" w:after="60" w:line="360" w:lineRule="auto"/>
        <w:ind w:firstLine="0" w:firstLineChars="0"/>
        <w:rPr>
          <w:rFonts w:ascii="宋体" w:hAnsi="宋体" w:eastAsia="宋体" w:cs="宋体"/>
          <w:szCs w:val="24"/>
        </w:rPr>
      </w:pPr>
      <w:bookmarkStart w:id="104" w:name="_Toc366679673"/>
      <w:bookmarkStart w:id="105" w:name="_Toc21970"/>
      <w:bookmarkStart w:id="106" w:name="_Toc387526386"/>
      <w:bookmarkStart w:id="107" w:name="_Toc500510934"/>
      <w:bookmarkStart w:id="108" w:name="_Toc387526190"/>
      <w:bookmarkStart w:id="109" w:name="_Toc508918248"/>
      <w:bookmarkStart w:id="110" w:name="_Toc387526294"/>
      <w:bookmarkStart w:id="111" w:name="_Toc367894799"/>
      <w:bookmarkStart w:id="112" w:name="_Toc363329371"/>
      <w:r>
        <w:rPr>
          <w:rFonts w:ascii="宋体" w:hAnsi="宋体" w:eastAsia="宋体" w:cs="宋体"/>
          <w:szCs w:val="24"/>
        </w:rPr>
        <w:t xml:space="preserve">1.11 </w:t>
      </w:r>
      <w:r>
        <w:rPr>
          <w:rFonts w:hint="eastAsia" w:ascii="宋体" w:hAnsi="宋体" w:eastAsia="宋体" w:cs="宋体"/>
          <w:szCs w:val="24"/>
        </w:rPr>
        <w:t>偏离</w:t>
      </w:r>
      <w:bookmarkEnd w:id="104"/>
      <w:bookmarkEnd w:id="105"/>
      <w:bookmarkEnd w:id="106"/>
      <w:bookmarkEnd w:id="107"/>
      <w:bookmarkEnd w:id="108"/>
      <w:bookmarkEnd w:id="109"/>
      <w:bookmarkEnd w:id="110"/>
    </w:p>
    <w:p>
      <w:pPr>
        <w:spacing w:line="360" w:lineRule="auto"/>
        <w:rPr>
          <w:rFonts w:ascii="宋体" w:cs="宋体"/>
          <w:sz w:val="24"/>
        </w:rPr>
      </w:pPr>
      <w:r>
        <w:rPr>
          <w:rFonts w:ascii="宋体" w:hAnsi="宋体"/>
          <w:sz w:val="24"/>
        </w:rPr>
        <w:t>投标人须知前附表允许投标文件偏离招标文件某些要求的，偏离应当符合招标文件规定的偏离范围和幅度。</w:t>
      </w:r>
    </w:p>
    <w:p>
      <w:pPr>
        <w:pStyle w:val="5"/>
        <w:keepNext w:val="0"/>
        <w:keepLines w:val="0"/>
        <w:spacing w:line="360" w:lineRule="auto"/>
        <w:rPr>
          <w:rFonts w:ascii="宋体" w:hAnsi="宋体" w:eastAsia="宋体" w:cs="宋体"/>
        </w:rPr>
      </w:pPr>
      <w:bookmarkStart w:id="113" w:name="_Toc368759376"/>
      <w:bookmarkStart w:id="114" w:name="_Toc30422"/>
      <w:bookmarkStart w:id="115" w:name="_Toc508918249"/>
      <w:bookmarkStart w:id="116" w:name="_Toc368760428"/>
      <w:bookmarkStart w:id="117" w:name="_Toc387526295"/>
      <w:bookmarkStart w:id="118" w:name="_Toc387526387"/>
      <w:bookmarkStart w:id="119" w:name="_Toc387526191"/>
      <w:bookmarkStart w:id="120" w:name="_Toc500510935"/>
      <w:bookmarkStart w:id="121" w:name="_Toc369077562"/>
      <w:r>
        <w:rPr>
          <w:rFonts w:ascii="宋体" w:hAnsi="宋体" w:eastAsia="宋体" w:cs="宋体"/>
        </w:rPr>
        <w:t>2.</w:t>
      </w:r>
      <w:r>
        <w:rPr>
          <w:rFonts w:hint="eastAsia" w:ascii="宋体" w:hAnsi="宋体" w:eastAsia="宋体" w:cs="宋体"/>
        </w:rPr>
        <w:t>招标文件</w:t>
      </w:r>
      <w:bookmarkEnd w:id="111"/>
      <w:bookmarkEnd w:id="112"/>
      <w:bookmarkEnd w:id="113"/>
      <w:bookmarkEnd w:id="114"/>
      <w:bookmarkEnd w:id="115"/>
      <w:bookmarkEnd w:id="116"/>
      <w:bookmarkEnd w:id="117"/>
      <w:bookmarkEnd w:id="118"/>
      <w:bookmarkEnd w:id="119"/>
      <w:bookmarkEnd w:id="120"/>
      <w:bookmarkEnd w:id="121"/>
    </w:p>
    <w:p>
      <w:pPr>
        <w:pStyle w:val="6"/>
        <w:keepNext w:val="0"/>
        <w:keepLines w:val="0"/>
        <w:spacing w:before="60" w:after="60" w:line="360" w:lineRule="auto"/>
        <w:ind w:firstLine="0" w:firstLineChars="0"/>
        <w:rPr>
          <w:rFonts w:ascii="宋体" w:hAnsi="宋体" w:eastAsia="宋体" w:cs="宋体"/>
          <w:szCs w:val="24"/>
        </w:rPr>
      </w:pPr>
      <w:bookmarkStart w:id="122" w:name="_Toc387526296"/>
      <w:bookmarkStart w:id="123" w:name="_Toc500510936"/>
      <w:bookmarkStart w:id="124" w:name="_Toc387526192"/>
      <w:bookmarkStart w:id="125" w:name="_Toc23070"/>
      <w:bookmarkStart w:id="126" w:name="_Toc387526388"/>
      <w:bookmarkStart w:id="127" w:name="_Toc508918250"/>
      <w:r>
        <w:rPr>
          <w:rFonts w:ascii="宋体" w:hAnsi="宋体" w:eastAsia="宋体" w:cs="宋体"/>
          <w:szCs w:val="24"/>
        </w:rPr>
        <w:t xml:space="preserve">2.1 </w:t>
      </w:r>
      <w:r>
        <w:rPr>
          <w:rFonts w:hint="eastAsia" w:ascii="宋体" w:hAnsi="宋体" w:eastAsia="宋体" w:cs="宋体"/>
          <w:szCs w:val="24"/>
        </w:rPr>
        <w:t>招标文件组成</w:t>
      </w:r>
      <w:bookmarkEnd w:id="122"/>
      <w:bookmarkEnd w:id="123"/>
      <w:bookmarkEnd w:id="124"/>
      <w:bookmarkEnd w:id="125"/>
      <w:bookmarkEnd w:id="126"/>
      <w:bookmarkEnd w:id="127"/>
    </w:p>
    <w:p>
      <w:pPr>
        <w:shd w:val="clear" w:color="auto" w:fill="FFFFFF"/>
        <w:autoSpaceDE w:val="0"/>
        <w:autoSpaceDN w:val="0"/>
        <w:adjustRightInd w:val="0"/>
        <w:spacing w:line="360" w:lineRule="auto"/>
        <w:jc w:val="left"/>
        <w:rPr>
          <w:rFonts w:ascii="宋体" w:cs="宋体"/>
          <w:sz w:val="24"/>
        </w:rPr>
      </w:pPr>
      <w:r>
        <w:rPr>
          <w:rFonts w:ascii="宋体" w:hAnsi="宋体" w:cs="宋体"/>
          <w:sz w:val="24"/>
        </w:rPr>
        <w:t xml:space="preserve">2.1.1 </w:t>
      </w:r>
      <w:r>
        <w:rPr>
          <w:rFonts w:hint="eastAsia" w:ascii="宋体" w:hAnsi="宋体" w:cs="宋体"/>
          <w:sz w:val="24"/>
        </w:rPr>
        <w:t>本招标文件包括：</w:t>
      </w:r>
    </w:p>
    <w:p>
      <w:pPr>
        <w:spacing w:line="360" w:lineRule="auto"/>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）招标公告；</w:t>
      </w:r>
    </w:p>
    <w:p>
      <w:pPr>
        <w:spacing w:line="360" w:lineRule="auto"/>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）投标人须知；</w:t>
      </w:r>
    </w:p>
    <w:p>
      <w:pPr>
        <w:spacing w:line="360" w:lineRule="auto"/>
        <w:rPr>
          <w:rFonts w:asci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）评标办法；</w:t>
      </w:r>
    </w:p>
    <w:p>
      <w:pPr>
        <w:spacing w:line="360" w:lineRule="auto"/>
        <w:rPr>
          <w:rFonts w:asci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）合同条款及格式；</w:t>
      </w:r>
    </w:p>
    <w:p>
      <w:pPr>
        <w:spacing w:line="360" w:lineRule="auto"/>
        <w:rPr>
          <w:rFonts w:ascii="宋体" w:cs="宋体"/>
          <w:sz w:val="24"/>
        </w:rPr>
      </w:pPr>
      <w:r>
        <w:rPr>
          <w:rFonts w:hint="eastAsia" w:ascii="宋体" w:hAnsi="宋体" w:cs="宋体"/>
          <w:sz w:val="24"/>
        </w:rPr>
        <w:t>（</w:t>
      </w:r>
      <w:r>
        <w:rPr>
          <w:rFonts w:ascii="宋体" w:hAnsi="宋体" w:cs="宋体"/>
          <w:sz w:val="24"/>
        </w:rPr>
        <w:t>5</w:t>
      </w:r>
      <w:r>
        <w:rPr>
          <w:rFonts w:hint="eastAsia" w:ascii="宋体" w:hAnsi="宋体" w:cs="宋体"/>
          <w:sz w:val="24"/>
        </w:rPr>
        <w:t>）项目需求；</w:t>
      </w:r>
      <w:r>
        <w:rPr>
          <w:rFonts w:ascii="宋体" w:cs="宋体"/>
          <w:sz w:val="24"/>
        </w:rPr>
        <w:t xml:space="preserve"> </w:t>
      </w:r>
    </w:p>
    <w:p>
      <w:pPr>
        <w:spacing w:line="360" w:lineRule="auto"/>
        <w:rPr>
          <w:rFonts w:ascii="宋体" w:cs="宋体"/>
          <w:sz w:val="24"/>
        </w:rPr>
      </w:pPr>
      <w:r>
        <w:rPr>
          <w:rFonts w:hint="eastAsia" w:ascii="宋体" w:hAnsi="宋体" w:cs="宋体"/>
          <w:sz w:val="24"/>
        </w:rPr>
        <w:t>（6）投标文件格式；</w:t>
      </w:r>
    </w:p>
    <w:p>
      <w:pPr>
        <w:spacing w:line="360" w:lineRule="auto"/>
        <w:rPr>
          <w:rFonts w:ascii="宋体" w:cs="宋体"/>
          <w:sz w:val="24"/>
        </w:rPr>
      </w:pPr>
      <w:r>
        <w:rPr>
          <w:rFonts w:hint="eastAsia" w:ascii="宋体" w:hAnsi="宋体" w:cs="宋体"/>
          <w:sz w:val="24"/>
        </w:rPr>
        <w:t>（7）投标人须知前附表规定的其他材料。</w:t>
      </w:r>
    </w:p>
    <w:p>
      <w:pPr>
        <w:spacing w:line="360" w:lineRule="auto"/>
        <w:rPr>
          <w:rFonts w:ascii="宋体" w:cs="宋体"/>
          <w:sz w:val="24"/>
        </w:rPr>
      </w:pPr>
      <w:r>
        <w:rPr>
          <w:rFonts w:ascii="宋体" w:hAnsi="宋体" w:cs="宋体"/>
          <w:sz w:val="24"/>
        </w:rPr>
        <w:t>2.1.2</w:t>
      </w:r>
      <w:r>
        <w:rPr>
          <w:rFonts w:hint="eastAsia" w:ascii="宋体" w:hAnsi="宋体" w:cs="宋体"/>
          <w:sz w:val="24"/>
        </w:rPr>
        <w:t>根据本章第</w:t>
      </w:r>
      <w:r>
        <w:rPr>
          <w:rFonts w:ascii="宋体" w:hAnsi="宋体" w:cs="宋体"/>
          <w:sz w:val="24"/>
        </w:rPr>
        <w:t>1.10</w:t>
      </w:r>
      <w:r>
        <w:rPr>
          <w:rFonts w:hint="eastAsia" w:ascii="宋体" w:hAnsi="宋体" w:cs="宋体"/>
          <w:sz w:val="24"/>
        </w:rPr>
        <w:t>款、第</w:t>
      </w:r>
      <w:r>
        <w:rPr>
          <w:rFonts w:ascii="宋体" w:hAnsi="宋体" w:cs="宋体"/>
          <w:sz w:val="24"/>
        </w:rPr>
        <w:t>2.2</w:t>
      </w:r>
      <w:r>
        <w:rPr>
          <w:rFonts w:hint="eastAsia" w:ascii="宋体" w:hAnsi="宋体" w:cs="宋体"/>
          <w:sz w:val="24"/>
        </w:rPr>
        <w:t>款和第</w:t>
      </w:r>
      <w:r>
        <w:rPr>
          <w:rFonts w:ascii="宋体" w:hAnsi="宋体" w:cs="宋体"/>
          <w:sz w:val="24"/>
        </w:rPr>
        <w:t>2.3</w:t>
      </w:r>
      <w:r>
        <w:rPr>
          <w:rFonts w:hint="eastAsia" w:ascii="宋体" w:hAnsi="宋体" w:cs="宋体"/>
          <w:sz w:val="24"/>
        </w:rPr>
        <w:t>款对招标文件所作的澄清、修改，构成招标文件的组成部分。当招标文件相互之间发生矛盾时，以后发出的文件为准。</w:t>
      </w:r>
    </w:p>
    <w:p>
      <w:pPr>
        <w:pStyle w:val="6"/>
        <w:keepNext w:val="0"/>
        <w:keepLines w:val="0"/>
        <w:spacing w:before="60" w:after="60" w:line="360" w:lineRule="auto"/>
        <w:ind w:firstLine="0" w:firstLineChars="0"/>
        <w:rPr>
          <w:rFonts w:ascii="宋体" w:hAnsi="宋体" w:eastAsia="宋体" w:cs="宋体"/>
          <w:szCs w:val="24"/>
        </w:rPr>
      </w:pPr>
      <w:bookmarkStart w:id="128" w:name="_Toc144974512"/>
      <w:bookmarkStart w:id="129" w:name="_Toc387526297"/>
      <w:bookmarkStart w:id="130" w:name="_Toc387526193"/>
      <w:bookmarkStart w:id="131" w:name="_Toc508918251"/>
      <w:bookmarkStart w:id="132" w:name="_Toc152042320"/>
      <w:bookmarkStart w:id="133" w:name="_Toc500510937"/>
      <w:bookmarkStart w:id="134" w:name="_Toc179632562"/>
      <w:bookmarkStart w:id="135" w:name="_Toc247085703"/>
      <w:bookmarkStart w:id="136" w:name="_Toc9593"/>
      <w:bookmarkStart w:id="137" w:name="_Toc387526389"/>
      <w:bookmarkStart w:id="138" w:name="_Toc152045544"/>
      <w:bookmarkStart w:id="139" w:name="_Toc366679676"/>
      <w:bookmarkStart w:id="140" w:name="_Toc246996189"/>
      <w:bookmarkStart w:id="141" w:name="_Toc246996932"/>
      <w:r>
        <w:rPr>
          <w:rFonts w:ascii="宋体" w:hAnsi="宋体" w:eastAsia="宋体" w:cs="宋体"/>
          <w:szCs w:val="24"/>
        </w:rPr>
        <w:t xml:space="preserve">2.2 </w:t>
      </w:r>
      <w:r>
        <w:rPr>
          <w:rFonts w:hint="eastAsia" w:ascii="宋体" w:hAnsi="宋体" w:eastAsia="宋体" w:cs="宋体"/>
          <w:szCs w:val="24"/>
        </w:rPr>
        <w:t>招标文件的澄清</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shd w:val="clear" w:color="auto" w:fill="FFFFFF"/>
        <w:autoSpaceDE w:val="0"/>
        <w:autoSpaceDN w:val="0"/>
        <w:adjustRightInd w:val="0"/>
        <w:spacing w:line="360" w:lineRule="auto"/>
        <w:jc w:val="left"/>
        <w:rPr>
          <w:rFonts w:ascii="宋体" w:hAnsi="宋体" w:cs="宋体"/>
          <w:sz w:val="24"/>
        </w:rPr>
      </w:pPr>
      <w:bookmarkStart w:id="142" w:name="_Toc387526298"/>
      <w:bookmarkStart w:id="143" w:name="_Toc387526194"/>
      <w:bookmarkStart w:id="144" w:name="_Toc387526390"/>
      <w:bookmarkStart w:id="145" w:name="_Toc246996190"/>
      <w:bookmarkStart w:id="146" w:name="_Toc246996933"/>
      <w:bookmarkStart w:id="147" w:name="_Toc179632563"/>
      <w:bookmarkStart w:id="148" w:name="_Toc247085704"/>
      <w:bookmarkStart w:id="149" w:name="_Toc366679677"/>
      <w:bookmarkStart w:id="150" w:name="_Toc19263"/>
      <w:bookmarkStart w:id="151" w:name="_Toc500510938"/>
      <w:r>
        <w:rPr>
          <w:rFonts w:hint="eastAsia" w:ascii="宋体" w:hAnsi="宋体" w:cs="宋体"/>
          <w:sz w:val="24"/>
        </w:rPr>
        <w:t>2.2.1 投标人应仔细阅读和检查招标文件的全部内容。如发现缺页或附件不全，应及时向招标人提出，以便补齐。如有疑问，应在投标人须知前附表规定的时间前通过电子邮件的形式发送至指定邮箱：</w:t>
      </w:r>
      <w:r>
        <w:fldChar w:fldCharType="begin"/>
      </w:r>
      <w:r>
        <w:instrText xml:space="preserve"> HYPERLINK "mailto:sitc.js@vip.163.com" </w:instrText>
      </w:r>
      <w:r>
        <w:fldChar w:fldCharType="separate"/>
      </w:r>
      <w:r>
        <w:rPr>
          <w:rStyle w:val="57"/>
          <w:rFonts w:hint="eastAsia" w:ascii="宋体" w:hAnsi="宋体" w:cs="宋体"/>
          <w:color w:val="auto"/>
          <w:sz w:val="24"/>
          <w:lang w:val="en-US" w:eastAsia="zh-CN"/>
        </w:rPr>
        <w:t>1367212214</w:t>
      </w:r>
      <w:r>
        <w:rPr>
          <w:rStyle w:val="57"/>
          <w:rFonts w:hint="eastAsia" w:ascii="宋体" w:hAnsi="宋体" w:cs="宋体"/>
          <w:color w:val="auto"/>
          <w:sz w:val="24"/>
        </w:rPr>
        <w:t>@qq</w:t>
      </w:r>
      <w:r>
        <w:rPr>
          <w:rStyle w:val="57"/>
          <w:rFonts w:ascii="宋体" w:hAnsi="宋体" w:cs="宋体"/>
          <w:color w:val="auto"/>
          <w:sz w:val="24"/>
        </w:rPr>
        <w:t>.com</w:t>
      </w:r>
      <w:r>
        <w:rPr>
          <w:rStyle w:val="57"/>
          <w:rFonts w:ascii="宋体" w:hAnsi="宋体" w:cs="宋体"/>
          <w:color w:val="auto"/>
          <w:sz w:val="24"/>
        </w:rPr>
        <w:fldChar w:fldCharType="end"/>
      </w:r>
      <w:r>
        <w:rPr>
          <w:rFonts w:hint="eastAsia" w:ascii="宋体" w:hAnsi="宋体" w:cs="宋体"/>
          <w:sz w:val="24"/>
        </w:rPr>
        <w:t>，要求招标人对招标文件予以澄清。</w:t>
      </w:r>
    </w:p>
    <w:p>
      <w:pPr>
        <w:shd w:val="clear" w:color="auto" w:fill="FFFFFF"/>
        <w:autoSpaceDE w:val="0"/>
        <w:autoSpaceDN w:val="0"/>
        <w:adjustRightInd w:val="0"/>
        <w:spacing w:line="360" w:lineRule="auto"/>
        <w:jc w:val="left"/>
        <w:rPr>
          <w:rFonts w:ascii="宋体" w:hAnsi="宋体" w:cs="宋体"/>
          <w:sz w:val="24"/>
        </w:rPr>
      </w:pPr>
      <w:r>
        <w:rPr>
          <w:rFonts w:hint="eastAsia" w:ascii="宋体" w:hAnsi="宋体" w:cs="宋体"/>
          <w:sz w:val="24"/>
        </w:rPr>
        <w:t>投标人不在澄清期限内提出，招标人有权不予答复。</w:t>
      </w:r>
    </w:p>
    <w:p>
      <w:pPr>
        <w:shd w:val="clear" w:color="auto" w:fill="FFFFFF"/>
        <w:autoSpaceDE w:val="0"/>
        <w:autoSpaceDN w:val="0"/>
        <w:adjustRightInd w:val="0"/>
        <w:spacing w:line="360" w:lineRule="auto"/>
        <w:jc w:val="left"/>
        <w:rPr>
          <w:rFonts w:ascii="宋体" w:hAnsi="宋体" w:cs="宋体"/>
          <w:sz w:val="24"/>
        </w:rPr>
      </w:pPr>
      <w:r>
        <w:rPr>
          <w:rFonts w:hint="eastAsia" w:ascii="宋体" w:hAnsi="宋体" w:cs="宋体"/>
          <w:sz w:val="24"/>
        </w:rPr>
        <w:t>2.2.2 招标文件的澄清将在投标人须知前附表规定的投标截止时间前以</w:t>
      </w:r>
      <w:r>
        <w:rPr>
          <w:rFonts w:ascii="宋体" w:hAnsi="宋体" w:cs="宋体"/>
          <w:sz w:val="24"/>
        </w:rPr>
        <w:t>电子文档形式上传至</w:t>
      </w:r>
      <w:r>
        <w:rPr>
          <w:rFonts w:hint="eastAsia" w:ascii="宋体" w:hAnsi="宋体" w:cs="宋体"/>
          <w:sz w:val="24"/>
        </w:rPr>
        <w:t>“南通市中央创新区建设投资有限公司官网”</w:t>
      </w:r>
      <w:r>
        <w:rPr>
          <w:rFonts w:ascii="宋体" w:hAnsi="宋体" w:cs="宋体"/>
          <w:sz w:val="24"/>
        </w:rPr>
        <w:t>，请各潜在投标人在</w:t>
      </w:r>
      <w:r>
        <w:rPr>
          <w:rFonts w:hint="eastAsia" w:ascii="宋体" w:hAnsi="宋体" w:cs="宋体"/>
          <w:sz w:val="24"/>
        </w:rPr>
        <w:t>“南通市中央创新区建设投资有限公司官网</w:t>
      </w:r>
      <w:r>
        <w:rPr>
          <w:rFonts w:ascii="宋体" w:hAnsi="宋体" w:cs="宋体"/>
          <w:sz w:val="24"/>
        </w:rPr>
        <w:t>”自行下载</w:t>
      </w:r>
      <w:r>
        <w:rPr>
          <w:rFonts w:hint="eastAsia" w:ascii="宋体" w:hAnsi="宋体" w:cs="宋体"/>
          <w:sz w:val="24"/>
        </w:rPr>
        <w:t>，招标人不再另行通知。如果澄清发出的时间距投标截止时间不足3天，且澄清内容影响投标文件编制的，相应延长投标截止时间。</w:t>
      </w:r>
    </w:p>
    <w:p>
      <w:pPr>
        <w:spacing w:line="360" w:lineRule="auto"/>
        <w:rPr>
          <w:rFonts w:ascii="宋体" w:hAnsi="宋体" w:cs="宋体"/>
          <w:sz w:val="24"/>
        </w:rPr>
      </w:pPr>
      <w:r>
        <w:rPr>
          <w:rFonts w:hint="eastAsia" w:ascii="宋体" w:hAnsi="宋体" w:cs="宋体"/>
          <w:sz w:val="24"/>
        </w:rPr>
        <w:t>2.2.3澄清文件按本章第2.2.2款规定发出之时起，视为投标人已收到该澄清文件。投标人未及时通过“南通市中央创新区建设投资有限公司官网</w:t>
      </w:r>
      <w:r>
        <w:rPr>
          <w:rFonts w:ascii="宋体" w:hAnsi="宋体" w:cs="宋体"/>
          <w:sz w:val="24"/>
        </w:rPr>
        <w:t>”</w:t>
      </w:r>
      <w:r>
        <w:rPr>
          <w:rFonts w:hint="eastAsia" w:ascii="宋体" w:hAnsi="宋体" w:cs="宋体"/>
          <w:sz w:val="24"/>
        </w:rPr>
        <w:t>查阅招标文件的澄清，或未按照澄清后的招标文件编制投标文件，由此造成的后果由投标人自行承担。</w:t>
      </w:r>
    </w:p>
    <w:p>
      <w:pPr>
        <w:pStyle w:val="6"/>
        <w:keepNext w:val="0"/>
        <w:keepLines w:val="0"/>
        <w:spacing w:before="60" w:after="60" w:line="360" w:lineRule="auto"/>
        <w:ind w:firstLine="0" w:firstLineChars="0"/>
        <w:rPr>
          <w:rFonts w:ascii="宋体" w:hAnsi="宋体" w:eastAsia="宋体" w:cs="宋体"/>
          <w:szCs w:val="24"/>
        </w:rPr>
      </w:pPr>
      <w:bookmarkStart w:id="152" w:name="_Toc508918252"/>
      <w:r>
        <w:rPr>
          <w:rFonts w:ascii="宋体" w:hAnsi="宋体" w:eastAsia="宋体" w:cs="宋体"/>
          <w:szCs w:val="24"/>
        </w:rPr>
        <w:t xml:space="preserve">2.3 </w:t>
      </w:r>
      <w:r>
        <w:rPr>
          <w:rFonts w:hint="eastAsia" w:ascii="宋体" w:hAnsi="宋体" w:eastAsia="宋体" w:cs="宋体"/>
          <w:szCs w:val="24"/>
        </w:rPr>
        <w:t>招标文件的修改</w:t>
      </w:r>
      <w:bookmarkEnd w:id="142"/>
      <w:bookmarkEnd w:id="143"/>
      <w:bookmarkEnd w:id="144"/>
      <w:bookmarkEnd w:id="145"/>
      <w:bookmarkEnd w:id="146"/>
      <w:bookmarkEnd w:id="147"/>
      <w:bookmarkEnd w:id="148"/>
      <w:bookmarkEnd w:id="149"/>
      <w:bookmarkEnd w:id="150"/>
      <w:bookmarkEnd w:id="151"/>
      <w:bookmarkEnd w:id="152"/>
    </w:p>
    <w:p>
      <w:pPr>
        <w:shd w:val="clear" w:color="auto" w:fill="FFFFFF"/>
        <w:autoSpaceDE w:val="0"/>
        <w:autoSpaceDN w:val="0"/>
        <w:adjustRightInd w:val="0"/>
        <w:spacing w:line="360" w:lineRule="auto"/>
        <w:jc w:val="left"/>
        <w:rPr>
          <w:rFonts w:ascii="宋体" w:hAnsi="宋体" w:cs="宋体"/>
          <w:sz w:val="24"/>
        </w:rPr>
      </w:pPr>
      <w:bookmarkStart w:id="153" w:name="_Toc367894800"/>
      <w:bookmarkStart w:id="154" w:name="_Toc387526195"/>
      <w:bookmarkStart w:id="155" w:name="_Toc387526391"/>
      <w:bookmarkStart w:id="156" w:name="_Toc368759377"/>
      <w:bookmarkStart w:id="157" w:name="_Toc368760429"/>
      <w:bookmarkStart w:id="158" w:name="_Toc19481"/>
      <w:bookmarkStart w:id="159" w:name="_Toc387526299"/>
      <w:bookmarkStart w:id="160" w:name="_Toc369077563"/>
      <w:bookmarkStart w:id="161" w:name="_Toc363329372"/>
      <w:bookmarkStart w:id="162" w:name="_Toc500510939"/>
      <w:bookmarkStart w:id="163" w:name="_Toc119718089"/>
      <w:r>
        <w:rPr>
          <w:rFonts w:hint="eastAsia" w:ascii="宋体" w:hAnsi="宋体" w:cs="宋体"/>
          <w:sz w:val="24"/>
        </w:rPr>
        <w:t>2.3.1 在投标截止时间前，招标人可以书面形式修改招标文件，通过“南通市中央创新区建设投资有限公司官网</w:t>
      </w:r>
      <w:r>
        <w:rPr>
          <w:rFonts w:ascii="宋体" w:hAnsi="宋体" w:cs="宋体"/>
          <w:sz w:val="24"/>
        </w:rPr>
        <w:t>”</w:t>
      </w:r>
      <w:r>
        <w:rPr>
          <w:rFonts w:hint="eastAsia" w:ascii="宋体" w:hAnsi="宋体" w:cs="宋体"/>
          <w:sz w:val="24"/>
        </w:rPr>
        <w:t>发给所有投标人。如果修改招标文件的时间距投标截止时间不足3天，且修改内容影响投标文件编制的，相应延长投标截止时间。</w:t>
      </w:r>
    </w:p>
    <w:p>
      <w:pPr>
        <w:spacing w:line="360" w:lineRule="auto"/>
        <w:rPr>
          <w:rFonts w:ascii="宋体" w:hAnsi="宋体" w:cs="宋体"/>
          <w:sz w:val="24"/>
        </w:rPr>
      </w:pPr>
      <w:r>
        <w:rPr>
          <w:rFonts w:hint="eastAsia" w:ascii="宋体" w:hAnsi="宋体" w:cs="宋体"/>
          <w:sz w:val="24"/>
        </w:rPr>
        <w:t>2.3.2修改文件按本章第2.3.1款规定发出之时起，视为投标人已收到该修改文件。投标人未及时通过“南通市中央创新区建设投资有限公司官网</w:t>
      </w:r>
      <w:r>
        <w:rPr>
          <w:rFonts w:ascii="宋体" w:hAnsi="宋体" w:cs="宋体"/>
          <w:sz w:val="24"/>
        </w:rPr>
        <w:t>”</w:t>
      </w:r>
      <w:r>
        <w:rPr>
          <w:rFonts w:hint="eastAsia" w:ascii="宋体" w:hAnsi="宋体" w:cs="宋体"/>
          <w:sz w:val="24"/>
        </w:rPr>
        <w:t>查阅招标文件的修改，或未按照修改后的招标文件编制投标文件，由此造成的后果由投标人自行承担。</w:t>
      </w:r>
    </w:p>
    <w:p>
      <w:pPr>
        <w:pStyle w:val="5"/>
        <w:keepNext w:val="0"/>
        <w:keepLines w:val="0"/>
        <w:spacing w:line="360" w:lineRule="auto"/>
        <w:rPr>
          <w:rFonts w:ascii="宋体" w:hAnsi="宋体" w:eastAsia="宋体" w:cs="宋体"/>
        </w:rPr>
      </w:pPr>
      <w:bookmarkStart w:id="164" w:name="_Toc508918253"/>
      <w:r>
        <w:rPr>
          <w:rFonts w:ascii="宋体" w:hAnsi="宋体" w:eastAsia="宋体" w:cs="宋体"/>
        </w:rPr>
        <w:t>3.</w:t>
      </w:r>
      <w:r>
        <w:rPr>
          <w:rFonts w:hint="eastAsia" w:ascii="宋体" w:hAnsi="宋体" w:eastAsia="宋体" w:cs="宋体"/>
        </w:rPr>
        <w:t>投标文件</w:t>
      </w:r>
      <w:bookmarkEnd w:id="153"/>
      <w:bookmarkEnd w:id="154"/>
      <w:bookmarkEnd w:id="155"/>
      <w:bookmarkEnd w:id="156"/>
      <w:bookmarkEnd w:id="157"/>
      <w:bookmarkEnd w:id="158"/>
      <w:bookmarkEnd w:id="159"/>
      <w:bookmarkEnd w:id="160"/>
      <w:bookmarkEnd w:id="161"/>
      <w:bookmarkEnd w:id="162"/>
      <w:bookmarkEnd w:id="164"/>
    </w:p>
    <w:p>
      <w:pPr>
        <w:pStyle w:val="6"/>
        <w:keepNext w:val="0"/>
        <w:keepLines w:val="0"/>
        <w:spacing w:before="60" w:after="60" w:line="360" w:lineRule="auto"/>
        <w:ind w:firstLine="0" w:firstLineChars="0"/>
        <w:rPr>
          <w:rFonts w:ascii="宋体" w:hAnsi="宋体" w:eastAsia="宋体" w:cs="宋体"/>
          <w:szCs w:val="24"/>
        </w:rPr>
      </w:pPr>
      <w:bookmarkStart w:id="165" w:name="_Toc508918254"/>
      <w:bookmarkStart w:id="166" w:name="_Toc500510940"/>
      <w:bookmarkStart w:id="167" w:name="_Toc387526392"/>
      <w:bookmarkStart w:id="168" w:name="_Toc387526196"/>
      <w:bookmarkStart w:id="169" w:name="_Toc387526300"/>
      <w:bookmarkStart w:id="170" w:name="_Toc5625"/>
      <w:r>
        <w:rPr>
          <w:rFonts w:ascii="宋体" w:hAnsi="宋体" w:eastAsia="宋体" w:cs="宋体"/>
          <w:szCs w:val="24"/>
        </w:rPr>
        <w:t xml:space="preserve">3.1 </w:t>
      </w:r>
      <w:r>
        <w:rPr>
          <w:rFonts w:hint="eastAsia" w:ascii="宋体" w:hAnsi="宋体" w:eastAsia="宋体" w:cs="宋体"/>
          <w:szCs w:val="24"/>
        </w:rPr>
        <w:t>投标文件</w:t>
      </w:r>
      <w:bookmarkEnd w:id="163"/>
      <w:r>
        <w:rPr>
          <w:rFonts w:hint="eastAsia" w:ascii="宋体" w:hAnsi="宋体" w:eastAsia="宋体" w:cs="宋体"/>
          <w:szCs w:val="24"/>
        </w:rPr>
        <w:t>的组成</w:t>
      </w:r>
      <w:bookmarkEnd w:id="165"/>
      <w:bookmarkEnd w:id="166"/>
      <w:bookmarkEnd w:id="167"/>
      <w:bookmarkEnd w:id="168"/>
      <w:bookmarkEnd w:id="169"/>
      <w:bookmarkEnd w:id="170"/>
    </w:p>
    <w:p>
      <w:pPr>
        <w:spacing w:line="360" w:lineRule="auto"/>
        <w:rPr>
          <w:rFonts w:ascii="宋体" w:cs="宋体"/>
          <w:sz w:val="24"/>
        </w:rPr>
      </w:pPr>
      <w:r>
        <w:rPr>
          <w:rFonts w:ascii="宋体" w:hAnsi="宋体" w:cs="宋体"/>
          <w:sz w:val="24"/>
        </w:rPr>
        <w:t xml:space="preserve">3.1.1 </w:t>
      </w:r>
      <w:r>
        <w:rPr>
          <w:rFonts w:hint="eastAsia" w:ascii="宋体" w:hAnsi="宋体" w:cs="宋体"/>
          <w:sz w:val="24"/>
        </w:rPr>
        <w:t>投标文件的组成见投标人须知前附表。</w:t>
      </w:r>
    </w:p>
    <w:p>
      <w:pPr>
        <w:spacing w:line="360" w:lineRule="auto"/>
        <w:rPr>
          <w:rFonts w:ascii="宋体" w:cs="宋体"/>
          <w:sz w:val="24"/>
        </w:rPr>
      </w:pPr>
      <w:r>
        <w:rPr>
          <w:rFonts w:ascii="宋体" w:hAnsi="宋体" w:cs="宋体"/>
          <w:sz w:val="24"/>
        </w:rPr>
        <w:t xml:space="preserve">3.1.2 </w:t>
      </w:r>
      <w:r>
        <w:rPr>
          <w:rFonts w:hint="eastAsia" w:ascii="宋体" w:hAnsi="宋体" w:cs="宋体"/>
          <w:sz w:val="24"/>
        </w:rPr>
        <w:t>第六章“投标文件格式”要求提供相关证明材料作为附件的，投标人应按要求在投标文件中提供相应材料，否则不予认可。</w:t>
      </w:r>
    </w:p>
    <w:p>
      <w:pPr>
        <w:spacing w:line="360" w:lineRule="auto"/>
        <w:rPr>
          <w:rFonts w:ascii="宋体" w:hAnsi="宋体" w:cs="宋体"/>
          <w:b/>
          <w:sz w:val="24"/>
        </w:rPr>
      </w:pPr>
      <w:r>
        <w:rPr>
          <w:rFonts w:ascii="宋体" w:hAnsi="宋体" w:cs="宋体"/>
          <w:b/>
          <w:sz w:val="24"/>
        </w:rPr>
        <w:t>3.1.3</w:t>
      </w:r>
      <w:r>
        <w:rPr>
          <w:rFonts w:hint="eastAsia" w:ascii="宋体" w:hAnsi="宋体" w:cs="宋体"/>
          <w:b/>
          <w:sz w:val="24"/>
        </w:rPr>
        <w:t>投标人应按投标人须知前附表的规定提供相关证明材料的原件，用于现场查验，原件仅在投标文件内容存在字迹模糊、分辨不清等情形时予以查验。</w:t>
      </w:r>
    </w:p>
    <w:p>
      <w:pPr>
        <w:pStyle w:val="6"/>
        <w:keepNext w:val="0"/>
        <w:keepLines w:val="0"/>
        <w:spacing w:before="60" w:after="60" w:line="360" w:lineRule="auto"/>
        <w:ind w:firstLine="0" w:firstLineChars="0"/>
        <w:rPr>
          <w:rFonts w:hint="eastAsia" w:ascii="宋体" w:hAnsi="宋体" w:eastAsia="宋体" w:cs="宋体"/>
          <w:b/>
          <w:szCs w:val="24"/>
        </w:rPr>
      </w:pPr>
      <w:bookmarkStart w:id="171" w:name="_Toc508918255"/>
      <w:bookmarkStart w:id="172" w:name="_Toc500510941"/>
      <w:bookmarkStart w:id="173" w:name="_Toc387526197"/>
      <w:bookmarkStart w:id="174" w:name="_Toc10820"/>
      <w:bookmarkStart w:id="175" w:name="_Toc387526393"/>
      <w:bookmarkStart w:id="176" w:name="_Toc387526301"/>
      <w:r>
        <w:rPr>
          <w:rFonts w:ascii="宋体" w:hAnsi="宋体" w:eastAsia="宋体" w:cs="宋体"/>
          <w:b/>
          <w:szCs w:val="24"/>
        </w:rPr>
        <w:t xml:space="preserve">3.2 </w:t>
      </w:r>
      <w:r>
        <w:rPr>
          <w:rFonts w:hint="eastAsia" w:ascii="宋体" w:hAnsi="宋体" w:eastAsia="宋体" w:cs="宋体"/>
          <w:b/>
          <w:szCs w:val="24"/>
        </w:rPr>
        <w:t>投标报价</w:t>
      </w:r>
      <w:bookmarkEnd w:id="171"/>
      <w:bookmarkEnd w:id="172"/>
      <w:bookmarkEnd w:id="173"/>
      <w:bookmarkEnd w:id="174"/>
      <w:bookmarkEnd w:id="175"/>
      <w:bookmarkEnd w:id="176"/>
      <w:bookmarkStart w:id="177" w:name="_Toc508918256"/>
      <w:bookmarkStart w:id="178" w:name="_Toc500510942"/>
      <w:bookmarkStart w:id="179" w:name="_Toc387526394"/>
      <w:bookmarkStart w:id="180" w:name="_Toc387526198"/>
      <w:bookmarkStart w:id="181" w:name="_Toc387526302"/>
      <w:bookmarkStart w:id="182" w:name="_Toc21008"/>
    </w:p>
    <w:p>
      <w:pPr>
        <w:pStyle w:val="6"/>
        <w:keepNext w:val="0"/>
        <w:keepLines w:val="0"/>
        <w:spacing w:before="60" w:after="60" w:line="360" w:lineRule="auto"/>
        <w:ind w:firstLine="0" w:firstLineChars="0"/>
        <w:rPr>
          <w:rFonts w:ascii="宋体" w:hAnsi="宋体" w:eastAsia="宋体" w:cs="宋体"/>
          <w:b/>
          <w:szCs w:val="24"/>
        </w:rPr>
      </w:pPr>
      <w:r>
        <w:rPr>
          <w:rFonts w:hint="eastAsia" w:ascii="宋体" w:hAnsi="宋体" w:eastAsia="宋体" w:cs="宋体"/>
          <w:b/>
          <w:szCs w:val="24"/>
        </w:rPr>
        <w:t>3.2.1本项目不接受任何有选择的报价。</w:t>
      </w:r>
    </w:p>
    <w:p>
      <w:pPr>
        <w:pStyle w:val="6"/>
        <w:spacing w:before="60" w:after="60" w:line="360" w:lineRule="auto"/>
        <w:ind w:firstLine="118"/>
        <w:rPr>
          <w:rFonts w:ascii="宋体" w:hAnsi="宋体" w:eastAsia="宋体" w:cs="宋体"/>
          <w:b/>
          <w:szCs w:val="24"/>
        </w:rPr>
      </w:pPr>
      <w:r>
        <w:rPr>
          <w:rFonts w:hint="eastAsia" w:ascii="宋体" w:hAnsi="宋体" w:eastAsia="宋体" w:cs="宋体"/>
          <w:b/>
          <w:szCs w:val="24"/>
        </w:rPr>
        <w:t>3.2.2投标报价均以人民币为报价的货币单位。</w:t>
      </w:r>
    </w:p>
    <w:p>
      <w:pPr>
        <w:pStyle w:val="6"/>
        <w:spacing w:before="60" w:after="60" w:line="360" w:lineRule="auto"/>
        <w:ind w:firstLine="118"/>
        <w:rPr>
          <w:rFonts w:ascii="宋体" w:hAnsi="宋体" w:eastAsia="宋体" w:cs="宋体"/>
          <w:b/>
          <w:szCs w:val="24"/>
        </w:rPr>
      </w:pPr>
      <w:r>
        <w:rPr>
          <w:rFonts w:hint="eastAsia" w:ascii="宋体" w:hAnsi="宋体" w:eastAsia="宋体" w:cs="宋体"/>
          <w:b/>
          <w:szCs w:val="24"/>
        </w:rPr>
        <w:t>3.2.3投标函中投标总价和分项报价表中总计金额必须一致，若有差异，视为未能对招标文件作出实质性响应，按废标处理。</w:t>
      </w:r>
    </w:p>
    <w:p>
      <w:pPr>
        <w:pStyle w:val="6"/>
        <w:spacing w:before="60" w:after="60" w:line="360" w:lineRule="auto"/>
        <w:ind w:firstLine="118"/>
        <w:rPr>
          <w:rFonts w:ascii="宋体" w:hAnsi="宋体" w:eastAsia="宋体" w:cs="宋体"/>
          <w:b/>
          <w:szCs w:val="24"/>
        </w:rPr>
      </w:pPr>
      <w:r>
        <w:rPr>
          <w:rFonts w:hint="eastAsia" w:ascii="宋体" w:hAnsi="宋体" w:eastAsia="宋体" w:cs="宋体"/>
          <w:b/>
          <w:szCs w:val="24"/>
        </w:rPr>
        <w:t>3.2.4货物清单中投标人没有填入单价或价格的子目，其费用视为已分摊在采购清单中其他子目的单价或价格之中。</w:t>
      </w:r>
    </w:p>
    <w:p>
      <w:pPr>
        <w:pStyle w:val="6"/>
        <w:spacing w:before="60" w:after="60" w:line="360" w:lineRule="auto"/>
        <w:ind w:firstLine="118"/>
        <w:rPr>
          <w:rFonts w:ascii="宋体" w:hAnsi="宋体" w:eastAsia="宋体" w:cs="宋体"/>
          <w:b/>
          <w:szCs w:val="24"/>
        </w:rPr>
      </w:pPr>
      <w:r>
        <w:rPr>
          <w:rFonts w:hint="eastAsia" w:ascii="宋体" w:hAnsi="宋体" w:eastAsia="宋体" w:cs="宋体"/>
          <w:b/>
          <w:szCs w:val="24"/>
        </w:rPr>
        <w:t>3.2.5投标报价应包括国家规定的增值税税金，增值税税金按一般计税方法计算。投标人应按第六章“投标文件格式”的要求在投标函中进行报价并填写分项报价表。分项报价表中所报的综合单价和合价为全费用单价和全费用合价。</w:t>
      </w:r>
    </w:p>
    <w:p>
      <w:pPr>
        <w:pStyle w:val="6"/>
        <w:spacing w:before="60" w:after="60" w:line="360" w:lineRule="auto"/>
        <w:ind w:firstLine="118"/>
        <w:rPr>
          <w:rFonts w:ascii="宋体" w:hAnsi="宋体" w:eastAsia="宋体" w:cs="宋体"/>
          <w:b/>
          <w:szCs w:val="24"/>
        </w:rPr>
      </w:pPr>
      <w:r>
        <w:rPr>
          <w:rFonts w:hint="eastAsia" w:ascii="宋体" w:hAnsi="宋体" w:eastAsia="宋体" w:cs="宋体"/>
          <w:b/>
          <w:szCs w:val="24"/>
        </w:rPr>
        <w:t>本项目采用固定综合单价报价方式，综合单价不因劳务或材料价格变动、国家地方政策改变，或其它因素变化而进行调整。投标报价应包含本招标文件中的全部内容所需的所有费用，包括但不限于B大道以北、湖东路以东地块(暂定名金融商务中心启动区）充电桩采购及安装（详见采购清单）深化设计、运抵买方工地现场，摆放就位，安装调试验收合格，直至投运交付建设单位使用。本工程的投标报价表中所报的单价和合价为全费用单价和全费用合价，全费用单价和全费用合价应包含了（包括但不仅限于）全部设备的加工、制作及供货（含材料备品备件、专用工器具、专用检测仪器仪表等）、装配(含出厂前试运行和检测)、包装费、运杂费（运抵现场）、卸货费、现场保管费、运输和保险费（含境外设备国际和国内运输、保险、报关、商检、检验检疫）、措施费、安装费、调试、检测费用、摆放就位、试运行、验收、成品保护费、移交、技术援助、外文资料翻译成中文译本、因施工需要而发生的一切措施费（包括相关施工规范与工程验收规范可以确定但施工技术方案没有表达的，为了达到施工规范与工程验收规范要求而必须发生的技术措施；招标文件中提出的某些需要通过一定技术措施才能实现的要求，设计文件中一些不足以写进技术方案但是要通过一定的技术措施才能实现的内容）、安全文明施工费、垃圾清运、对建设单位操作、维护人员培训费、性能介绍、售后服务、有关部门验收费用、各项有关规费和政策性规定费用及中标人确认为需要的其它费用等，直至交付至建设单位使用时所需要的各种费用（包含所有隐含的内容）。</w:t>
      </w:r>
    </w:p>
    <w:p>
      <w:pPr>
        <w:pStyle w:val="6"/>
        <w:spacing w:before="60" w:after="60" w:line="360" w:lineRule="auto"/>
        <w:ind w:firstLine="118"/>
        <w:rPr>
          <w:rFonts w:ascii="宋体" w:hAnsi="宋体" w:eastAsia="宋体" w:cs="宋体"/>
          <w:b/>
          <w:szCs w:val="24"/>
        </w:rPr>
      </w:pPr>
      <w:r>
        <w:rPr>
          <w:rFonts w:hint="eastAsia" w:ascii="宋体" w:hAnsi="宋体" w:eastAsia="宋体" w:cs="宋体"/>
          <w:b/>
          <w:szCs w:val="24"/>
        </w:rPr>
        <w:t>3.2.6招标人设有最高投标限价的，投标人的投标报价不得高于最高投标限价，最高投标限价见投标人须知前附表。</w:t>
      </w:r>
    </w:p>
    <w:p>
      <w:pPr>
        <w:pStyle w:val="6"/>
        <w:spacing w:before="60" w:after="60" w:line="360" w:lineRule="auto"/>
        <w:ind w:firstLine="118"/>
        <w:rPr>
          <w:rFonts w:ascii="宋体" w:hAnsi="宋体" w:eastAsia="宋体" w:cs="宋体"/>
          <w:b/>
          <w:szCs w:val="24"/>
        </w:rPr>
      </w:pPr>
      <w:r>
        <w:rPr>
          <w:rFonts w:hint="eastAsia" w:ascii="宋体" w:hAnsi="宋体" w:eastAsia="宋体" w:cs="宋体"/>
          <w:b/>
          <w:szCs w:val="24"/>
        </w:rPr>
        <w:t>3.2.7招标文件采购清单中的数量为暂定数量，按工程实际使用数量结算。</w:t>
      </w:r>
    </w:p>
    <w:p>
      <w:pPr>
        <w:pStyle w:val="6"/>
        <w:spacing w:before="60" w:after="60" w:line="360" w:lineRule="auto"/>
        <w:ind w:firstLine="118"/>
        <w:rPr>
          <w:rFonts w:ascii="宋体" w:hAnsi="宋体" w:eastAsia="宋体" w:cs="宋体"/>
          <w:b/>
          <w:szCs w:val="24"/>
        </w:rPr>
      </w:pPr>
      <w:r>
        <w:rPr>
          <w:rFonts w:hint="eastAsia" w:ascii="宋体" w:hAnsi="宋体" w:eastAsia="宋体" w:cs="宋体"/>
          <w:b/>
          <w:szCs w:val="24"/>
        </w:rPr>
        <w:t>3.2.8请投标人自行组织踏勘施工现场，根据施工现场情况、周边实际情况，认真预测并合理估算施工的难度和风险、考虑必要的施工措施和需要承担的费用列入投标报价中，竣工结算时一律不作调整。</w:t>
      </w:r>
    </w:p>
    <w:p>
      <w:pPr>
        <w:pStyle w:val="6"/>
        <w:spacing w:before="60" w:after="60" w:line="360" w:lineRule="auto"/>
        <w:ind w:firstLine="118"/>
        <w:rPr>
          <w:rFonts w:ascii="宋体" w:hAnsi="宋体" w:eastAsia="宋体" w:cs="宋体"/>
          <w:b/>
          <w:szCs w:val="24"/>
        </w:rPr>
      </w:pPr>
      <w:r>
        <w:rPr>
          <w:rFonts w:hint="eastAsia" w:ascii="宋体" w:hAnsi="宋体" w:eastAsia="宋体" w:cs="宋体"/>
          <w:b/>
          <w:szCs w:val="24"/>
        </w:rPr>
        <w:t>3.2.9本工程未推荐品牌的材料/设备，投标人在报价时考虑选用国产中档及以上，且符合国家标准及以上的合格产品并达到设计要求进行报价，在结算时价格不予调整。设计未明确参数的材料/设备须达到国标要求。在实际施工中，需经得招标人书面确认后，方可采购材料/设备。招标人可以无条件要求中标人更换不符合要求的产品，购进的材料/设备与提供的样品不一致时，由中标人无条件退货，如因使用不符合国家标准及各项指标的材料，由此引起的相关费用由中标人承担，工程结算时一律不作调整，并承担相应违约责任。</w:t>
      </w:r>
    </w:p>
    <w:p>
      <w:pPr>
        <w:pStyle w:val="6"/>
        <w:keepNext w:val="0"/>
        <w:keepLines w:val="0"/>
        <w:spacing w:before="60" w:after="60" w:line="360" w:lineRule="auto"/>
        <w:ind w:firstLine="0" w:firstLineChars="0"/>
        <w:rPr>
          <w:rFonts w:ascii="宋体" w:hAnsi="宋体" w:eastAsia="宋体" w:cs="宋体"/>
          <w:b/>
          <w:szCs w:val="24"/>
        </w:rPr>
      </w:pPr>
      <w:r>
        <w:rPr>
          <w:rFonts w:hint="eastAsia" w:ascii="宋体" w:hAnsi="宋体" w:eastAsia="宋体" w:cs="宋体"/>
          <w:b/>
          <w:szCs w:val="24"/>
        </w:rPr>
        <w:t>3.2.10其他未尽事宜在书面答疑中明确。</w:t>
      </w:r>
    </w:p>
    <w:p>
      <w:pPr>
        <w:pStyle w:val="6"/>
        <w:keepNext w:val="0"/>
        <w:keepLines w:val="0"/>
        <w:spacing w:before="60" w:after="60" w:line="360" w:lineRule="auto"/>
        <w:ind w:firstLine="0" w:firstLineChars="0"/>
        <w:rPr>
          <w:rFonts w:ascii="宋体" w:hAnsi="宋体" w:eastAsia="宋体" w:cs="宋体"/>
          <w:szCs w:val="24"/>
        </w:rPr>
      </w:pPr>
      <w:r>
        <w:rPr>
          <w:rFonts w:ascii="宋体" w:hAnsi="宋体" w:eastAsia="宋体" w:cs="宋体"/>
          <w:szCs w:val="24"/>
        </w:rPr>
        <w:t xml:space="preserve">3.3 </w:t>
      </w:r>
      <w:r>
        <w:rPr>
          <w:rFonts w:hint="eastAsia" w:ascii="宋体" w:hAnsi="宋体" w:eastAsia="宋体" w:cs="宋体"/>
          <w:szCs w:val="24"/>
        </w:rPr>
        <w:t>投标有效期</w:t>
      </w:r>
      <w:bookmarkEnd w:id="177"/>
      <w:bookmarkEnd w:id="178"/>
      <w:bookmarkEnd w:id="179"/>
      <w:bookmarkEnd w:id="180"/>
      <w:bookmarkEnd w:id="181"/>
      <w:bookmarkEnd w:id="182"/>
    </w:p>
    <w:p>
      <w:pPr>
        <w:spacing w:line="360" w:lineRule="auto"/>
        <w:rPr>
          <w:rFonts w:ascii="宋体" w:cs="宋体"/>
          <w:sz w:val="24"/>
        </w:rPr>
      </w:pPr>
      <w:r>
        <w:rPr>
          <w:rFonts w:ascii="宋体" w:hAnsi="宋体" w:cs="宋体"/>
          <w:sz w:val="24"/>
        </w:rPr>
        <w:t xml:space="preserve">3.3.1 </w:t>
      </w:r>
      <w:r>
        <w:rPr>
          <w:rFonts w:hint="eastAsia" w:ascii="宋体" w:hAnsi="宋体" w:cs="宋体"/>
          <w:sz w:val="24"/>
        </w:rPr>
        <w:t>在投标人须知前附表第</w:t>
      </w:r>
      <w:r>
        <w:rPr>
          <w:rFonts w:ascii="宋体" w:hAnsi="宋体" w:cs="宋体"/>
          <w:sz w:val="24"/>
        </w:rPr>
        <w:t>3.3.1</w:t>
      </w:r>
      <w:r>
        <w:rPr>
          <w:rFonts w:hint="eastAsia" w:ascii="宋体" w:hAnsi="宋体" w:cs="宋体"/>
          <w:sz w:val="24"/>
        </w:rPr>
        <w:t>条规定的投标有效期内，投标人不得要求撤销或修改其投标文件。</w:t>
      </w:r>
    </w:p>
    <w:p>
      <w:pPr>
        <w:spacing w:line="360" w:lineRule="auto"/>
        <w:rPr>
          <w:rFonts w:ascii="宋体" w:cs="宋体"/>
          <w:sz w:val="24"/>
        </w:rPr>
      </w:pPr>
      <w:r>
        <w:rPr>
          <w:rFonts w:ascii="宋体" w:hAnsi="宋体" w:cs="宋体"/>
          <w:sz w:val="24"/>
        </w:rPr>
        <w:t>3.3.2</w:t>
      </w:r>
      <w:r>
        <w:rPr>
          <w:rFonts w:hint="eastAsia" w:ascii="宋体" w:hAnsi="宋体" w:cs="宋体"/>
          <w:sz w:val="24"/>
        </w:rPr>
        <w:t>出现特殊情况需要延长投标有效期的，招标人应通知所有投标人延长投标有效期。投标人同意延长的，应相应延长其投标保证金的有效期，但不得要求或被允许修改或撤销其投标文件；投标人拒绝延长的，其投标失效。</w:t>
      </w:r>
    </w:p>
    <w:p>
      <w:pPr>
        <w:pStyle w:val="6"/>
        <w:keepNext w:val="0"/>
        <w:keepLines w:val="0"/>
        <w:spacing w:before="60" w:after="60" w:line="360" w:lineRule="auto"/>
        <w:ind w:firstLine="0" w:firstLineChars="0"/>
        <w:rPr>
          <w:rFonts w:ascii="宋体" w:hAnsi="宋体" w:eastAsia="宋体" w:cs="宋体"/>
          <w:szCs w:val="24"/>
        </w:rPr>
      </w:pPr>
      <w:bookmarkStart w:id="183" w:name="_Toc508918257"/>
      <w:bookmarkStart w:id="184" w:name="_Toc500510943"/>
      <w:bookmarkStart w:id="185" w:name="_Toc387526395"/>
      <w:bookmarkStart w:id="186" w:name="_Toc15701"/>
      <w:bookmarkStart w:id="187" w:name="_Toc387526199"/>
      <w:bookmarkStart w:id="188" w:name="_Toc387526303"/>
      <w:r>
        <w:rPr>
          <w:rFonts w:ascii="宋体" w:hAnsi="宋体" w:eastAsia="宋体" w:cs="宋体"/>
          <w:szCs w:val="24"/>
        </w:rPr>
        <w:t xml:space="preserve">3.4 </w:t>
      </w:r>
      <w:r>
        <w:rPr>
          <w:rFonts w:hint="eastAsia" w:ascii="宋体" w:hAnsi="宋体" w:eastAsia="宋体" w:cs="宋体"/>
          <w:szCs w:val="24"/>
        </w:rPr>
        <w:t>投标保证金</w:t>
      </w:r>
      <w:bookmarkEnd w:id="183"/>
      <w:bookmarkEnd w:id="184"/>
      <w:bookmarkEnd w:id="185"/>
      <w:bookmarkEnd w:id="186"/>
      <w:bookmarkEnd w:id="187"/>
      <w:bookmarkEnd w:id="188"/>
    </w:p>
    <w:p>
      <w:pPr>
        <w:spacing w:line="360" w:lineRule="auto"/>
        <w:rPr>
          <w:rFonts w:hint="default" w:ascii="宋体" w:hAnsi="宋体" w:eastAsia="宋体" w:cs="宋体"/>
          <w:sz w:val="24"/>
          <w:lang w:val="en-US" w:eastAsia="zh-CN"/>
        </w:rPr>
      </w:pPr>
      <w:bookmarkStart w:id="189" w:name="_Toc508918258"/>
      <w:bookmarkStart w:id="190" w:name="_Toc500510944"/>
      <w:bookmarkStart w:id="191" w:name="_Toc24952"/>
      <w:bookmarkStart w:id="192" w:name="_Toc269310939"/>
      <w:bookmarkStart w:id="193" w:name="_Toc324255909"/>
      <w:bookmarkStart w:id="194" w:name="_Toc339359765"/>
      <w:r>
        <w:rPr>
          <w:rFonts w:hint="eastAsia" w:ascii="宋体" w:hAnsi="宋体" w:cs="宋体"/>
          <w:sz w:val="24"/>
        </w:rPr>
        <w:t>3.4.1</w:t>
      </w:r>
      <w:r>
        <w:rPr>
          <w:rFonts w:hint="eastAsia" w:ascii="宋体" w:hAnsi="宋体" w:cs="宋体"/>
          <w:b/>
          <w:bCs/>
          <w:sz w:val="24"/>
          <w:lang w:val="en-US" w:eastAsia="zh-CN"/>
        </w:rPr>
        <w:t>本项目不设投标保证金。</w:t>
      </w:r>
    </w:p>
    <w:p>
      <w:pPr>
        <w:spacing w:line="360" w:lineRule="auto"/>
        <w:rPr>
          <w:rFonts w:hint="eastAsia" w:ascii="宋体" w:hAnsi="宋体" w:eastAsia="宋体" w:cs="宋体"/>
          <w:sz w:val="24"/>
          <w:lang w:eastAsia="zh-CN"/>
        </w:rPr>
      </w:pPr>
      <w:r>
        <w:rPr>
          <w:rFonts w:hint="eastAsia" w:ascii="宋体" w:hAnsi="宋体" w:cs="宋体"/>
          <w:sz w:val="24"/>
        </w:rPr>
        <w:t>3.4.2投标保证金退还</w:t>
      </w:r>
      <w:r>
        <w:rPr>
          <w:rFonts w:hint="eastAsia" w:ascii="宋体" w:hAnsi="宋体" w:cs="宋体"/>
          <w:b/>
          <w:bCs/>
          <w:sz w:val="24"/>
          <w:lang w:eastAsia="zh-CN"/>
        </w:rPr>
        <w:t>（</w:t>
      </w:r>
      <w:r>
        <w:rPr>
          <w:rFonts w:hint="eastAsia" w:ascii="宋体" w:hAnsi="宋体" w:cs="宋体"/>
          <w:b/>
          <w:bCs/>
          <w:sz w:val="24"/>
          <w:lang w:val="en-US" w:eastAsia="zh-CN"/>
        </w:rPr>
        <w:t>本项目不适用</w:t>
      </w:r>
      <w:r>
        <w:rPr>
          <w:rFonts w:hint="eastAsia" w:ascii="宋体" w:hAnsi="宋体" w:cs="宋体"/>
          <w:b/>
          <w:bCs/>
          <w:sz w:val="24"/>
          <w:lang w:eastAsia="zh-CN"/>
        </w:rPr>
        <w:t>）</w:t>
      </w:r>
    </w:p>
    <w:p>
      <w:pPr>
        <w:spacing w:line="360" w:lineRule="auto"/>
        <w:rPr>
          <w:rFonts w:ascii="宋体" w:hAnsi="宋体" w:cs="宋体"/>
          <w:sz w:val="24"/>
        </w:rPr>
      </w:pPr>
      <w:r>
        <w:rPr>
          <w:rFonts w:hint="eastAsia" w:ascii="宋体" w:hAnsi="宋体" w:cs="宋体"/>
          <w:sz w:val="24"/>
        </w:rPr>
        <w:t>3.4.2.1 未中标单位的投标保证金在其定标后予以退还。</w:t>
      </w:r>
    </w:p>
    <w:p>
      <w:pPr>
        <w:spacing w:line="360" w:lineRule="auto"/>
        <w:rPr>
          <w:rFonts w:ascii="宋体" w:hAnsi="宋体" w:cs="宋体"/>
          <w:sz w:val="24"/>
        </w:rPr>
      </w:pPr>
      <w:r>
        <w:rPr>
          <w:rFonts w:hint="eastAsia" w:ascii="宋体" w:hAnsi="宋体" w:cs="宋体"/>
          <w:sz w:val="24"/>
        </w:rPr>
        <w:t>3.4.2.2 中标单位的投标保证金在合同生效后一周内予以退还。</w:t>
      </w:r>
    </w:p>
    <w:p>
      <w:pPr>
        <w:spacing w:line="360" w:lineRule="auto"/>
        <w:rPr>
          <w:rFonts w:ascii="宋体" w:hAnsi="宋体" w:cs="宋体"/>
          <w:sz w:val="24"/>
        </w:rPr>
      </w:pPr>
      <w:r>
        <w:rPr>
          <w:rFonts w:hint="eastAsia" w:ascii="宋体" w:hAnsi="宋体" w:cs="宋体"/>
          <w:sz w:val="24"/>
        </w:rPr>
        <w:t>3.4.2.3 投标人在投标有效期内撤回投标文件或被认定存在违法违规行为时，投标人的投标保证金不予退还。中标通知书发出后，除不可抗力情况外，中标人出现下列情形之一的，招标人必须取消其中标资格，并不予退还其投标保证金：</w:t>
      </w:r>
    </w:p>
    <w:p>
      <w:pPr>
        <w:spacing w:line="360" w:lineRule="auto"/>
        <w:rPr>
          <w:rFonts w:ascii="宋体" w:hAnsi="宋体" w:cs="宋体"/>
          <w:sz w:val="24"/>
        </w:rPr>
      </w:pPr>
      <w:r>
        <w:rPr>
          <w:rFonts w:hint="eastAsia" w:ascii="宋体" w:hAnsi="宋体" w:cs="宋体"/>
          <w:sz w:val="24"/>
        </w:rPr>
        <w:t>（1）放弃中标项目的；</w:t>
      </w:r>
    </w:p>
    <w:p>
      <w:pPr>
        <w:spacing w:line="360" w:lineRule="auto"/>
        <w:rPr>
          <w:rFonts w:ascii="宋体" w:hAnsi="宋体" w:cs="宋体"/>
          <w:sz w:val="24"/>
        </w:rPr>
      </w:pPr>
      <w:r>
        <w:rPr>
          <w:rFonts w:hint="eastAsia" w:ascii="宋体" w:hAnsi="宋体" w:cs="宋体"/>
          <w:sz w:val="24"/>
        </w:rPr>
        <w:t>（2）拒不按照招标文件的要求提交履约保证金的；</w:t>
      </w:r>
    </w:p>
    <w:p>
      <w:pPr>
        <w:spacing w:line="360" w:lineRule="auto"/>
        <w:rPr>
          <w:rFonts w:ascii="宋体" w:hAnsi="宋体" w:cs="宋体"/>
          <w:sz w:val="24"/>
        </w:rPr>
      </w:pPr>
      <w:r>
        <w:rPr>
          <w:rFonts w:hint="eastAsia" w:ascii="宋体" w:hAnsi="宋体" w:cs="宋体"/>
          <w:sz w:val="24"/>
        </w:rPr>
        <w:t>（3）不与招标人签订合同的，或者在签订合同时向招标人提出附加条件或者更改合同实质性内容的。</w:t>
      </w:r>
    </w:p>
    <w:p>
      <w:pPr>
        <w:spacing w:line="360" w:lineRule="auto"/>
        <w:rPr>
          <w:rFonts w:ascii="宋体" w:hAnsi="宋体" w:cs="宋体"/>
          <w:sz w:val="24"/>
        </w:rPr>
      </w:pPr>
      <w:r>
        <w:rPr>
          <w:rFonts w:hint="eastAsia" w:ascii="宋体" w:hAnsi="宋体" w:cs="宋体"/>
          <w:sz w:val="24"/>
        </w:rPr>
        <w:t>存在上述行为的，招标人不退还投标保证金，并自认定之日起一年内不得参与招标人组织的任何招投标活动。参与投标的企业将视为遵守以上处理条款。</w:t>
      </w:r>
    </w:p>
    <w:p>
      <w:pPr>
        <w:pStyle w:val="6"/>
        <w:keepNext w:val="0"/>
        <w:keepLines w:val="0"/>
        <w:spacing w:line="360" w:lineRule="auto"/>
        <w:ind w:firstLine="0" w:firstLineChars="0"/>
        <w:rPr>
          <w:rFonts w:ascii="宋体" w:hAnsi="宋体" w:eastAsia="宋体" w:cs="宋体"/>
          <w:bCs/>
          <w:szCs w:val="24"/>
        </w:rPr>
      </w:pPr>
      <w:r>
        <w:rPr>
          <w:rFonts w:ascii="宋体" w:hAnsi="宋体" w:eastAsia="宋体" w:cs="宋体"/>
          <w:bCs/>
          <w:szCs w:val="24"/>
        </w:rPr>
        <w:t xml:space="preserve">3.5 </w:t>
      </w:r>
      <w:r>
        <w:rPr>
          <w:rFonts w:hint="eastAsia" w:ascii="宋体" w:hAnsi="宋体" w:eastAsia="宋体" w:cs="宋体"/>
          <w:bCs/>
          <w:szCs w:val="24"/>
        </w:rPr>
        <w:t>资格审查资料</w:t>
      </w:r>
      <w:bookmarkEnd w:id="189"/>
      <w:bookmarkEnd w:id="190"/>
      <w:bookmarkEnd w:id="191"/>
    </w:p>
    <w:p>
      <w:pPr>
        <w:spacing w:line="360" w:lineRule="auto"/>
        <w:rPr>
          <w:rFonts w:ascii="宋体" w:cs="宋体"/>
          <w:sz w:val="24"/>
        </w:rPr>
      </w:pPr>
      <w:r>
        <w:rPr>
          <w:rFonts w:hint="eastAsia" w:ascii="宋体" w:hAnsi="宋体" w:cs="宋体"/>
          <w:sz w:val="24"/>
        </w:rPr>
        <w:t>投标人在编制投标文件时，应按照本章</w:t>
      </w:r>
      <w:r>
        <w:rPr>
          <w:rFonts w:ascii="宋体" w:hAnsi="宋体" w:cs="宋体"/>
          <w:sz w:val="24"/>
        </w:rPr>
        <w:t>3.1</w:t>
      </w:r>
      <w:r>
        <w:rPr>
          <w:rFonts w:hint="eastAsia" w:ascii="宋体" w:hAnsi="宋体" w:cs="宋体"/>
          <w:sz w:val="24"/>
        </w:rPr>
        <w:t>的要求提供资料。</w:t>
      </w:r>
    </w:p>
    <w:p>
      <w:pPr>
        <w:pStyle w:val="6"/>
        <w:keepNext w:val="0"/>
        <w:keepLines w:val="0"/>
        <w:spacing w:before="60" w:after="60" w:line="360" w:lineRule="auto"/>
        <w:ind w:firstLine="0" w:firstLineChars="0"/>
        <w:rPr>
          <w:rFonts w:ascii="宋体" w:hAnsi="宋体" w:eastAsia="宋体" w:cs="宋体"/>
          <w:szCs w:val="24"/>
        </w:rPr>
      </w:pPr>
      <w:bookmarkStart w:id="195" w:name="_Toc387526200"/>
      <w:bookmarkStart w:id="196" w:name="_Toc500510945"/>
      <w:bookmarkStart w:id="197" w:name="_Toc22895"/>
      <w:bookmarkStart w:id="198" w:name="_Toc387526304"/>
      <w:bookmarkStart w:id="199" w:name="_Toc387526396"/>
      <w:bookmarkStart w:id="200" w:name="_Toc508918259"/>
      <w:r>
        <w:rPr>
          <w:rFonts w:ascii="宋体" w:hAnsi="宋体" w:eastAsia="宋体" w:cs="宋体"/>
          <w:szCs w:val="24"/>
        </w:rPr>
        <w:t xml:space="preserve">3.6 </w:t>
      </w:r>
      <w:r>
        <w:rPr>
          <w:rFonts w:hint="eastAsia" w:ascii="宋体" w:hAnsi="宋体" w:eastAsia="宋体" w:cs="宋体"/>
          <w:szCs w:val="24"/>
        </w:rPr>
        <w:t>备选投标方案</w:t>
      </w:r>
      <w:bookmarkEnd w:id="192"/>
      <w:bookmarkEnd w:id="193"/>
      <w:bookmarkEnd w:id="194"/>
      <w:bookmarkEnd w:id="195"/>
      <w:bookmarkEnd w:id="196"/>
      <w:bookmarkEnd w:id="197"/>
      <w:bookmarkEnd w:id="198"/>
      <w:bookmarkEnd w:id="199"/>
      <w:bookmarkEnd w:id="200"/>
    </w:p>
    <w:p>
      <w:pPr>
        <w:spacing w:line="360" w:lineRule="auto"/>
        <w:rPr>
          <w:rFonts w:ascii="宋体" w:cs="宋体"/>
          <w:sz w:val="24"/>
        </w:rPr>
      </w:pPr>
      <w:r>
        <w:rPr>
          <w:rFonts w:hint="eastAsia" w:ascii="宋体" w:hAnsi="宋体" w:cs="宋体"/>
          <w:sz w:val="24"/>
        </w:rPr>
        <w:t>除投标人须知前附表另有规定外，投标人不得提交备选投标方案。允许投标人提交备选投标方案的，只有中标候选人的投标人，其所提交的备选投标方案方可予以考虑。评标委员会认为中标候选人的备选投标方案优于其按照招标文件要求编制的投标方案的，招标人可以接受该备选投标方案。</w:t>
      </w:r>
    </w:p>
    <w:p>
      <w:pPr>
        <w:pStyle w:val="6"/>
        <w:keepNext w:val="0"/>
        <w:keepLines w:val="0"/>
        <w:spacing w:before="60" w:after="60" w:line="360" w:lineRule="auto"/>
        <w:ind w:firstLine="0" w:firstLineChars="0"/>
        <w:rPr>
          <w:rFonts w:ascii="宋体" w:hAnsi="宋体" w:eastAsia="宋体" w:cs="宋体"/>
          <w:szCs w:val="24"/>
        </w:rPr>
      </w:pPr>
      <w:bookmarkStart w:id="201" w:name="_Toc16855"/>
      <w:bookmarkStart w:id="202" w:name="_Toc508918260"/>
      <w:bookmarkStart w:id="203" w:name="_Toc387526305"/>
      <w:bookmarkStart w:id="204" w:name="_Toc500510946"/>
      <w:bookmarkStart w:id="205" w:name="_Toc387526201"/>
      <w:bookmarkStart w:id="206" w:name="_Toc387526397"/>
      <w:r>
        <w:rPr>
          <w:rFonts w:ascii="宋体" w:hAnsi="宋体" w:eastAsia="宋体" w:cs="宋体"/>
          <w:szCs w:val="24"/>
        </w:rPr>
        <w:t xml:space="preserve">3.7 </w:t>
      </w:r>
      <w:r>
        <w:rPr>
          <w:rFonts w:hint="eastAsia" w:ascii="宋体" w:hAnsi="宋体" w:eastAsia="宋体" w:cs="宋体"/>
          <w:szCs w:val="24"/>
        </w:rPr>
        <w:t>投标文件的编制</w:t>
      </w:r>
      <w:bookmarkEnd w:id="201"/>
      <w:bookmarkEnd w:id="202"/>
      <w:bookmarkEnd w:id="203"/>
      <w:bookmarkEnd w:id="204"/>
      <w:bookmarkEnd w:id="205"/>
      <w:bookmarkEnd w:id="206"/>
    </w:p>
    <w:p>
      <w:pPr>
        <w:spacing w:line="360" w:lineRule="auto"/>
        <w:rPr>
          <w:rFonts w:ascii="宋体" w:hAnsi="宋体" w:cs="宋体"/>
          <w:sz w:val="24"/>
        </w:rPr>
      </w:pPr>
      <w:r>
        <w:rPr>
          <w:rFonts w:ascii="宋体" w:hAnsi="宋体" w:cs="宋体"/>
          <w:sz w:val="24"/>
        </w:rPr>
        <w:t xml:space="preserve">3.7.1 </w:t>
      </w:r>
      <w:r>
        <w:rPr>
          <w:rFonts w:hint="eastAsia" w:ascii="宋体" w:hAnsi="宋体" w:cs="宋体"/>
          <w:sz w:val="24"/>
        </w:rPr>
        <w:t>投标文件应按第六章“投标文件格式”进行编写，如有必要，可以增加附页，作为投标文件的组成部分。</w:t>
      </w:r>
    </w:p>
    <w:p>
      <w:pPr>
        <w:spacing w:line="360" w:lineRule="auto"/>
        <w:rPr>
          <w:rFonts w:ascii="宋体" w:hAnsi="宋体"/>
          <w:sz w:val="24"/>
        </w:rPr>
      </w:pPr>
      <w:r>
        <w:rPr>
          <w:rFonts w:hint="eastAsia" w:ascii="宋体" w:hAnsi="宋体"/>
          <w:sz w:val="24"/>
        </w:rPr>
        <w:t>3.7.2投标文件应当对招标文件有关工期、投标有效期、质量要求、技术标准和要求、招标范围等实质性内容作出响应。</w:t>
      </w:r>
    </w:p>
    <w:p>
      <w:pPr>
        <w:spacing w:line="360" w:lineRule="auto"/>
        <w:rPr>
          <w:rFonts w:ascii="宋体" w:hAnsi="宋体"/>
          <w:sz w:val="24"/>
        </w:rPr>
      </w:pPr>
      <w:r>
        <w:rPr>
          <w:rFonts w:hint="eastAsia" w:ascii="宋体" w:hAnsi="宋体"/>
          <w:sz w:val="24"/>
        </w:rPr>
        <w:t>3.7.3技术标暗标</w:t>
      </w:r>
      <w:r>
        <w:rPr>
          <w:rFonts w:hint="eastAsia" w:ascii="宋体" w:hAnsi="宋体"/>
          <w:sz w:val="24"/>
          <w:lang w:eastAsia="zh-CN"/>
        </w:rPr>
        <w:t>（</w:t>
      </w:r>
      <w:r>
        <w:rPr>
          <w:rFonts w:hint="eastAsia" w:ascii="宋体" w:hAnsi="宋体"/>
          <w:sz w:val="24"/>
          <w:lang w:val="en-US" w:eastAsia="zh-CN"/>
        </w:rPr>
        <w:t>样品</w:t>
      </w:r>
      <w:r>
        <w:rPr>
          <w:rFonts w:hint="eastAsia" w:ascii="宋体" w:hAnsi="宋体"/>
          <w:sz w:val="24"/>
          <w:lang w:eastAsia="zh-CN"/>
        </w:rPr>
        <w:t>）</w:t>
      </w:r>
      <w:r>
        <w:rPr>
          <w:rFonts w:hint="eastAsia" w:ascii="宋体" w:hAnsi="宋体"/>
          <w:sz w:val="24"/>
        </w:rPr>
        <w:t>要求见投标人须知前附表。</w:t>
      </w:r>
    </w:p>
    <w:p>
      <w:pPr>
        <w:spacing w:line="360" w:lineRule="auto"/>
        <w:rPr>
          <w:rFonts w:ascii="宋体" w:hAnsi="宋体" w:cs="宋体"/>
          <w:sz w:val="24"/>
        </w:rPr>
      </w:pPr>
      <w:r>
        <w:rPr>
          <w:rFonts w:hint="eastAsia" w:ascii="宋体" w:hAnsi="宋体" w:cs="宋体"/>
          <w:sz w:val="24"/>
        </w:rPr>
        <w:t>3.7.4 补充内容：投标文件编制的其它要求详见投标人须知前附表。</w:t>
      </w:r>
    </w:p>
    <w:p>
      <w:pPr>
        <w:spacing w:line="360" w:lineRule="auto"/>
        <w:rPr>
          <w:rFonts w:ascii="宋体" w:hAnsi="宋体" w:cs="宋体"/>
          <w:sz w:val="24"/>
        </w:rPr>
      </w:pPr>
      <w:r>
        <w:rPr>
          <w:rFonts w:hint="eastAsia" w:ascii="宋体" w:hAnsi="宋体" w:cs="宋体"/>
          <w:sz w:val="24"/>
        </w:rPr>
        <w:t>3.7.5 电子备份文件包含内容详见投标人须知前附表，</w:t>
      </w:r>
      <w:r>
        <w:rPr>
          <w:rFonts w:hint="eastAsia" w:ascii="宋体" w:hAnsi="宋体" w:cs="宋体"/>
          <w:b/>
          <w:sz w:val="24"/>
        </w:rPr>
        <w:t>电子备份文件应当存储于U盘中</w:t>
      </w:r>
      <w:r>
        <w:rPr>
          <w:rFonts w:hint="eastAsia" w:ascii="宋体" w:hAnsi="宋体" w:cs="宋体"/>
          <w:sz w:val="24"/>
        </w:rPr>
        <w:t>。</w:t>
      </w:r>
    </w:p>
    <w:p>
      <w:pPr>
        <w:pStyle w:val="5"/>
        <w:keepNext w:val="0"/>
        <w:keepLines w:val="0"/>
        <w:spacing w:line="360" w:lineRule="auto"/>
        <w:rPr>
          <w:rFonts w:ascii="宋体" w:hAnsi="宋体" w:eastAsia="宋体" w:cs="宋体"/>
        </w:rPr>
      </w:pPr>
      <w:bookmarkStart w:id="207" w:name="_Toc387526306"/>
      <w:bookmarkStart w:id="208" w:name="_Toc367894801"/>
      <w:bookmarkStart w:id="209" w:name="_Toc387526398"/>
      <w:bookmarkStart w:id="210" w:name="_Toc24421"/>
      <w:bookmarkStart w:id="211" w:name="_Toc500510947"/>
      <w:bookmarkStart w:id="212" w:name="_Toc508918261"/>
      <w:bookmarkStart w:id="213" w:name="_Toc387526202"/>
      <w:bookmarkStart w:id="214" w:name="_Toc368759378"/>
      <w:bookmarkStart w:id="215" w:name="_Toc368760430"/>
      <w:bookmarkStart w:id="216" w:name="_Toc363329373"/>
      <w:bookmarkStart w:id="217" w:name="_Toc369077564"/>
      <w:bookmarkStart w:id="218" w:name="_Toc184635074"/>
      <w:bookmarkStart w:id="219" w:name="_Toc363329374"/>
      <w:bookmarkStart w:id="220" w:name="_Toc184635075"/>
      <w:bookmarkStart w:id="221" w:name="_Toc368759379"/>
      <w:bookmarkStart w:id="222" w:name="_Toc367894802"/>
      <w:r>
        <w:rPr>
          <w:rFonts w:ascii="宋体" w:hAnsi="宋体" w:eastAsia="宋体" w:cs="宋体"/>
        </w:rPr>
        <w:t>4.</w:t>
      </w:r>
      <w:r>
        <w:rPr>
          <w:rFonts w:hint="eastAsia" w:ascii="宋体" w:hAnsi="宋体" w:eastAsia="宋体" w:cs="宋体"/>
        </w:rPr>
        <w:t>投标</w:t>
      </w:r>
      <w:bookmarkEnd w:id="207"/>
      <w:bookmarkEnd w:id="208"/>
      <w:bookmarkEnd w:id="209"/>
      <w:bookmarkEnd w:id="210"/>
      <w:bookmarkEnd w:id="211"/>
      <w:bookmarkEnd w:id="212"/>
      <w:bookmarkEnd w:id="213"/>
      <w:bookmarkEnd w:id="214"/>
      <w:bookmarkEnd w:id="215"/>
      <w:bookmarkEnd w:id="216"/>
      <w:bookmarkEnd w:id="217"/>
      <w:bookmarkEnd w:id="218"/>
    </w:p>
    <w:p>
      <w:pPr>
        <w:pStyle w:val="6"/>
        <w:keepNext w:val="0"/>
        <w:keepLines w:val="0"/>
        <w:spacing w:line="360" w:lineRule="auto"/>
        <w:ind w:firstLine="0" w:firstLineChars="0"/>
        <w:rPr>
          <w:rFonts w:ascii="宋体" w:hAnsi="宋体" w:eastAsia="宋体" w:cs="宋体"/>
          <w:b/>
          <w:szCs w:val="24"/>
        </w:rPr>
      </w:pPr>
      <w:bookmarkStart w:id="223" w:name="_Toc500510948"/>
      <w:bookmarkStart w:id="224" w:name="_Toc387526399"/>
      <w:bookmarkStart w:id="225" w:name="_Toc387526203"/>
      <w:bookmarkStart w:id="226" w:name="_Toc387526307"/>
      <w:bookmarkStart w:id="227" w:name="_Toc27481"/>
      <w:bookmarkStart w:id="228" w:name="_Toc508918262"/>
      <w:r>
        <w:rPr>
          <w:rFonts w:ascii="宋体" w:hAnsi="宋体" w:eastAsia="宋体" w:cs="宋体"/>
          <w:b/>
          <w:szCs w:val="24"/>
        </w:rPr>
        <w:t xml:space="preserve">4.1 </w:t>
      </w:r>
      <w:r>
        <w:rPr>
          <w:rFonts w:hint="eastAsia" w:ascii="宋体" w:hAnsi="宋体" w:eastAsia="宋体" w:cs="宋体"/>
          <w:b/>
          <w:szCs w:val="24"/>
        </w:rPr>
        <w:t>投标文件的密封和标记</w:t>
      </w:r>
      <w:bookmarkEnd w:id="223"/>
      <w:bookmarkEnd w:id="224"/>
      <w:bookmarkEnd w:id="225"/>
      <w:bookmarkEnd w:id="226"/>
      <w:bookmarkEnd w:id="227"/>
      <w:bookmarkEnd w:id="228"/>
    </w:p>
    <w:p>
      <w:pPr>
        <w:spacing w:line="360" w:lineRule="auto"/>
        <w:rPr>
          <w:rFonts w:ascii="宋体" w:hAnsi="宋体" w:cs="宋体"/>
          <w:b/>
          <w:sz w:val="24"/>
        </w:rPr>
      </w:pPr>
      <w:bookmarkStart w:id="229" w:name="_Toc500510949"/>
      <w:bookmarkStart w:id="230" w:name="_Toc387526308"/>
      <w:bookmarkStart w:id="231" w:name="_Toc7888"/>
      <w:bookmarkStart w:id="232" w:name="_Toc387526204"/>
      <w:bookmarkStart w:id="233" w:name="_Toc387526400"/>
      <w:bookmarkStart w:id="234" w:name="_Toc508918263"/>
      <w:r>
        <w:rPr>
          <w:rFonts w:hint="eastAsia" w:ascii="宋体" w:hAnsi="宋体" w:cs="宋体"/>
          <w:b/>
          <w:sz w:val="24"/>
        </w:rPr>
        <w:t>4.1.1纸质投标文件由“资格审查资料”、 “商务技术标”、 “投标报价”三部分组成。“资格审查资料”、 “商务技术标”、 “投标报价”均一式伍份，其中正本壹份，副本肆份，并分别标明“正本”或“副本”字样。</w:t>
      </w:r>
    </w:p>
    <w:p>
      <w:pPr>
        <w:spacing w:line="360" w:lineRule="auto"/>
        <w:rPr>
          <w:rFonts w:ascii="宋体" w:hAnsi="宋体" w:cs="宋体"/>
          <w:b/>
          <w:sz w:val="24"/>
        </w:rPr>
      </w:pPr>
      <w:r>
        <w:rPr>
          <w:rFonts w:hint="eastAsia" w:ascii="宋体" w:hAnsi="宋体" w:cs="宋体"/>
          <w:b/>
          <w:sz w:val="24"/>
        </w:rPr>
        <w:t xml:space="preserve"> “电子备份文件”一份。</w:t>
      </w:r>
    </w:p>
    <w:p>
      <w:pPr>
        <w:spacing w:line="360" w:lineRule="auto"/>
        <w:rPr>
          <w:rFonts w:ascii="宋体" w:hAnsi="宋体" w:cs="宋体"/>
          <w:b/>
          <w:sz w:val="24"/>
        </w:rPr>
      </w:pPr>
      <w:r>
        <w:rPr>
          <w:rFonts w:hint="eastAsia" w:ascii="宋体" w:hAnsi="宋体" w:cs="宋体"/>
          <w:b/>
          <w:sz w:val="24"/>
        </w:rPr>
        <w:t>4.1.2“资格审查资料”、 “商务技术标”、 “投标报价”、“电子备份文件”必须分开密封，并在封袋上标明“资格审查资料”或 “商务技术标”或“投标报价”或“电子备份文件”，同时还要写明项目名称、投标人名称。</w:t>
      </w:r>
    </w:p>
    <w:p>
      <w:pPr>
        <w:spacing w:line="360" w:lineRule="auto"/>
        <w:rPr>
          <w:rFonts w:ascii="宋体" w:hAnsi="宋体" w:cs="宋体"/>
          <w:b/>
          <w:sz w:val="24"/>
        </w:rPr>
      </w:pPr>
      <w:r>
        <w:rPr>
          <w:rFonts w:hint="eastAsia" w:ascii="宋体" w:hAnsi="宋体" w:cs="宋体"/>
          <w:b/>
          <w:sz w:val="24"/>
        </w:rPr>
        <w:t>4.1.3投标人可将纸质投标文件正副本放在一个密封袋中密封，如正本和副本分别密封的，应在封袋上标明正、副本字样。</w:t>
      </w:r>
    </w:p>
    <w:p>
      <w:pPr>
        <w:spacing w:line="360" w:lineRule="auto"/>
        <w:rPr>
          <w:rFonts w:ascii="宋体" w:hAnsi="宋体" w:cs="宋体"/>
          <w:b/>
          <w:sz w:val="24"/>
        </w:rPr>
      </w:pPr>
      <w:r>
        <w:rPr>
          <w:rFonts w:hint="eastAsia" w:ascii="宋体" w:hAnsi="宋体" w:cs="宋体"/>
          <w:b/>
          <w:sz w:val="24"/>
        </w:rPr>
        <w:t>4.1.4所有投标文件都必须以显著标志密封，在封袋上加盖投标人公章、法定代表人或其委托代理人签字或盖章。</w:t>
      </w:r>
    </w:p>
    <w:p>
      <w:pPr>
        <w:spacing w:line="360" w:lineRule="auto"/>
        <w:rPr>
          <w:rFonts w:ascii="宋体" w:hAnsi="宋体" w:cs="宋体"/>
          <w:b/>
          <w:sz w:val="24"/>
        </w:rPr>
      </w:pPr>
      <w:r>
        <w:rPr>
          <w:rFonts w:hint="eastAsia" w:ascii="宋体" w:hAnsi="宋体" w:cs="宋体"/>
          <w:b/>
          <w:sz w:val="24"/>
        </w:rPr>
        <w:t>4.1.5投标人未按上述规定提交投标文件，其投标文件将被拒绝，并退还给投标人。</w:t>
      </w:r>
    </w:p>
    <w:p>
      <w:pPr>
        <w:spacing w:line="360" w:lineRule="auto"/>
        <w:rPr>
          <w:rFonts w:ascii="宋体" w:hAnsi="宋体" w:cs="宋体"/>
          <w:b/>
          <w:sz w:val="24"/>
        </w:rPr>
      </w:pPr>
      <w:r>
        <w:rPr>
          <w:rFonts w:hint="eastAsia" w:ascii="宋体" w:hAnsi="宋体" w:cs="宋体"/>
          <w:b/>
          <w:sz w:val="24"/>
        </w:rPr>
        <w:t>4.1.6纸质投标文件正、副本不一致时，以正本为准。</w:t>
      </w:r>
    </w:p>
    <w:p>
      <w:pPr>
        <w:pStyle w:val="6"/>
        <w:keepNext w:val="0"/>
        <w:keepLines w:val="0"/>
        <w:spacing w:line="360" w:lineRule="auto"/>
        <w:ind w:firstLine="0" w:firstLineChars="0"/>
        <w:rPr>
          <w:rFonts w:ascii="宋体" w:hAnsi="宋体" w:eastAsia="宋体" w:cs="宋体"/>
          <w:szCs w:val="24"/>
        </w:rPr>
      </w:pPr>
      <w:r>
        <w:rPr>
          <w:rFonts w:ascii="宋体" w:hAnsi="宋体" w:eastAsia="宋体" w:cs="宋体"/>
          <w:szCs w:val="24"/>
        </w:rPr>
        <w:t xml:space="preserve">4.2 </w:t>
      </w:r>
      <w:r>
        <w:rPr>
          <w:rFonts w:hint="eastAsia" w:ascii="宋体" w:hAnsi="宋体" w:eastAsia="宋体" w:cs="宋体"/>
          <w:szCs w:val="24"/>
        </w:rPr>
        <w:t>投标文件的递交</w:t>
      </w:r>
      <w:bookmarkEnd w:id="229"/>
      <w:bookmarkEnd w:id="230"/>
      <w:bookmarkEnd w:id="231"/>
      <w:bookmarkEnd w:id="232"/>
      <w:bookmarkEnd w:id="233"/>
      <w:bookmarkEnd w:id="234"/>
    </w:p>
    <w:p>
      <w:pPr>
        <w:spacing w:line="360" w:lineRule="auto"/>
        <w:rPr>
          <w:rFonts w:ascii="宋体" w:hAnsi="宋体" w:cs="宋体"/>
          <w:sz w:val="24"/>
        </w:rPr>
      </w:pPr>
      <w:bookmarkStart w:id="235" w:name="_Toc387526205"/>
      <w:bookmarkStart w:id="236" w:name="_Toc387526309"/>
      <w:bookmarkStart w:id="237" w:name="_Toc12008"/>
      <w:bookmarkStart w:id="238" w:name="_Toc387526401"/>
      <w:bookmarkStart w:id="239" w:name="_Toc500510950"/>
      <w:r>
        <w:rPr>
          <w:rFonts w:hint="eastAsia" w:ascii="宋体" w:hAnsi="宋体" w:cs="宋体"/>
          <w:sz w:val="24"/>
        </w:rPr>
        <w:t>4.2.1投标人应在投标人须知前附表规定的投标文件递交截止时间前，按投标人须知前附表规定的递交方式向招标人递交投标文件。逾期送达或者未送达至指定地点的投标文件，不予受理。</w:t>
      </w:r>
    </w:p>
    <w:p>
      <w:pPr>
        <w:spacing w:line="360" w:lineRule="auto"/>
        <w:rPr>
          <w:rFonts w:ascii="宋体" w:hAnsi="宋体" w:cs="宋体"/>
          <w:sz w:val="24"/>
        </w:rPr>
      </w:pPr>
      <w:r>
        <w:rPr>
          <w:rFonts w:hint="eastAsia" w:ascii="宋体" w:hAnsi="宋体" w:cs="宋体"/>
          <w:sz w:val="24"/>
        </w:rPr>
        <w:t>4.2.2招标人延长投标文件递交截止时间的，招标人与投标人在原投标截止期的全部权利、义务、责任将适用于延长后新的投标截止期。</w:t>
      </w:r>
    </w:p>
    <w:p>
      <w:pPr>
        <w:spacing w:line="360" w:lineRule="auto"/>
        <w:rPr>
          <w:sz w:val="24"/>
        </w:rPr>
      </w:pPr>
      <w:r>
        <w:rPr>
          <w:rFonts w:hint="eastAsia" w:ascii="宋体" w:hAnsi="宋体" w:cs="宋体"/>
          <w:sz w:val="24"/>
        </w:rPr>
        <w:t>4.2.3 投标人递交投标文件的地点：见投标人须知前附表。</w:t>
      </w:r>
    </w:p>
    <w:p>
      <w:pPr>
        <w:pStyle w:val="6"/>
        <w:keepNext w:val="0"/>
        <w:keepLines w:val="0"/>
        <w:spacing w:line="360" w:lineRule="auto"/>
        <w:ind w:firstLine="0" w:firstLineChars="0"/>
        <w:rPr>
          <w:rFonts w:ascii="宋体" w:hAnsi="宋体" w:eastAsia="宋体" w:cs="宋体"/>
          <w:szCs w:val="24"/>
        </w:rPr>
      </w:pPr>
      <w:bookmarkStart w:id="240" w:name="_Toc508918265"/>
      <w:r>
        <w:rPr>
          <w:rFonts w:ascii="宋体" w:hAnsi="宋体" w:eastAsia="宋体" w:cs="宋体"/>
          <w:szCs w:val="24"/>
        </w:rPr>
        <w:t xml:space="preserve">4.3 </w:t>
      </w:r>
      <w:r>
        <w:rPr>
          <w:rFonts w:hint="eastAsia" w:ascii="宋体" w:hAnsi="宋体" w:eastAsia="宋体" w:cs="宋体"/>
          <w:szCs w:val="24"/>
        </w:rPr>
        <w:t>投标文件的修改与撤回</w:t>
      </w:r>
      <w:bookmarkEnd w:id="235"/>
      <w:bookmarkEnd w:id="236"/>
      <w:bookmarkEnd w:id="237"/>
      <w:bookmarkEnd w:id="238"/>
      <w:bookmarkEnd w:id="239"/>
      <w:bookmarkEnd w:id="240"/>
    </w:p>
    <w:p>
      <w:pPr>
        <w:spacing w:line="360" w:lineRule="auto"/>
        <w:rPr>
          <w:rFonts w:ascii="宋体" w:hAnsi="宋体" w:cs="宋体"/>
          <w:sz w:val="24"/>
        </w:rPr>
      </w:pPr>
      <w:r>
        <w:rPr>
          <w:rFonts w:hint="eastAsia" w:ascii="宋体" w:hAnsi="宋体" w:cs="宋体"/>
          <w:sz w:val="24"/>
        </w:rPr>
        <w:t>投标文件递交截止时间之前，投标人可对所递交的投标文件进行修改或撤回，但所递交的修改或撤回通知必须按招标文件的规定进行编制、密封、标志(在包封上标明“修改”或“撤回”字样，并注明修改或撤回的时间)和递交。投标文件递交截止时间之后，投标人不得修改或撤回投标文件。</w:t>
      </w:r>
    </w:p>
    <w:p>
      <w:pPr>
        <w:pStyle w:val="5"/>
        <w:keepNext w:val="0"/>
        <w:keepLines w:val="0"/>
        <w:spacing w:line="360" w:lineRule="auto"/>
        <w:rPr>
          <w:rFonts w:ascii="宋体" w:hAnsi="宋体" w:eastAsia="宋体" w:cs="宋体"/>
        </w:rPr>
      </w:pPr>
      <w:bookmarkStart w:id="241" w:name="_Toc387526402"/>
      <w:bookmarkStart w:id="242" w:name="_Toc368760431"/>
      <w:bookmarkStart w:id="243" w:name="_Toc508918267"/>
      <w:bookmarkStart w:id="244" w:name="_Toc369077565"/>
      <w:bookmarkStart w:id="245" w:name="_Toc387526310"/>
      <w:bookmarkStart w:id="246" w:name="_Toc387526206"/>
      <w:bookmarkStart w:id="247" w:name="_Toc22329"/>
      <w:bookmarkStart w:id="248" w:name="_Toc500510952"/>
      <w:bookmarkStart w:id="249" w:name="_Toc247085724"/>
      <w:bookmarkStart w:id="250" w:name="_Toc246996953"/>
      <w:bookmarkStart w:id="251" w:name="_Toc152042342"/>
      <w:bookmarkStart w:id="252" w:name="_Toc152045566"/>
      <w:bookmarkStart w:id="253" w:name="_Toc179632584"/>
      <w:bookmarkStart w:id="254" w:name="_Toc366679697"/>
      <w:bookmarkStart w:id="255" w:name="_Toc246996210"/>
      <w:bookmarkStart w:id="256" w:name="_Toc368759381"/>
      <w:bookmarkStart w:id="257" w:name="_Toc144974534"/>
      <w:r>
        <w:rPr>
          <w:rFonts w:ascii="宋体" w:hAnsi="宋体" w:eastAsia="宋体" w:cs="宋体"/>
        </w:rPr>
        <w:t>5.</w:t>
      </w:r>
      <w:r>
        <w:rPr>
          <w:rFonts w:hint="eastAsia" w:ascii="宋体" w:hAnsi="宋体" w:eastAsia="宋体" w:cs="宋体"/>
        </w:rPr>
        <w:t>开标</w:t>
      </w:r>
      <w:bookmarkEnd w:id="241"/>
      <w:bookmarkEnd w:id="242"/>
      <w:bookmarkEnd w:id="243"/>
      <w:bookmarkEnd w:id="244"/>
      <w:bookmarkEnd w:id="245"/>
      <w:bookmarkEnd w:id="246"/>
      <w:bookmarkEnd w:id="247"/>
      <w:bookmarkEnd w:id="248"/>
    </w:p>
    <w:p>
      <w:pPr>
        <w:pStyle w:val="6"/>
        <w:keepNext w:val="0"/>
        <w:keepLines w:val="0"/>
        <w:spacing w:line="360" w:lineRule="auto"/>
        <w:ind w:firstLine="0" w:firstLineChars="0"/>
        <w:rPr>
          <w:rFonts w:ascii="宋体" w:hAnsi="宋体" w:eastAsia="宋体" w:cs="宋体"/>
          <w:szCs w:val="24"/>
        </w:rPr>
      </w:pPr>
      <w:bookmarkStart w:id="258" w:name="_Toc500510953"/>
      <w:bookmarkStart w:id="259" w:name="_Toc387526311"/>
      <w:bookmarkStart w:id="260" w:name="_Toc3233"/>
      <w:bookmarkStart w:id="261" w:name="_Toc387526403"/>
      <w:bookmarkStart w:id="262" w:name="_Toc387526207"/>
      <w:bookmarkStart w:id="263" w:name="_Toc508918268"/>
      <w:r>
        <w:rPr>
          <w:rFonts w:ascii="宋体" w:hAnsi="宋体" w:eastAsia="宋体" w:cs="宋体"/>
          <w:szCs w:val="24"/>
        </w:rPr>
        <w:t xml:space="preserve">5.1 </w:t>
      </w:r>
      <w:r>
        <w:rPr>
          <w:rFonts w:hint="eastAsia" w:ascii="宋体" w:hAnsi="宋体" w:eastAsia="宋体" w:cs="宋体"/>
          <w:szCs w:val="24"/>
        </w:rPr>
        <w:t>开标时间和地点</w:t>
      </w:r>
      <w:bookmarkEnd w:id="258"/>
      <w:bookmarkEnd w:id="259"/>
      <w:bookmarkEnd w:id="260"/>
      <w:bookmarkEnd w:id="261"/>
      <w:bookmarkEnd w:id="262"/>
      <w:bookmarkEnd w:id="263"/>
    </w:p>
    <w:p>
      <w:pPr>
        <w:pStyle w:val="44"/>
        <w:spacing w:after="0" w:line="360" w:lineRule="auto"/>
        <w:ind w:left="0"/>
        <w:rPr>
          <w:rFonts w:ascii="宋体" w:hAnsi="宋体" w:cs="宋体"/>
          <w:sz w:val="24"/>
        </w:rPr>
      </w:pPr>
      <w:r>
        <w:rPr>
          <w:rFonts w:hint="eastAsia" w:ascii="宋体" w:hAnsi="宋体" w:cs="宋体"/>
          <w:sz w:val="24"/>
        </w:rPr>
        <w:t>5.1.1招标人在投标人须知前附表规定的开标时间和地点公开开标。</w:t>
      </w:r>
    </w:p>
    <w:p>
      <w:pPr>
        <w:pStyle w:val="44"/>
        <w:spacing w:after="0" w:line="360" w:lineRule="auto"/>
        <w:ind w:left="0"/>
        <w:rPr>
          <w:rFonts w:ascii="宋体" w:hAnsi="宋体" w:cs="宋体"/>
          <w:sz w:val="24"/>
        </w:rPr>
      </w:pPr>
      <w:r>
        <w:rPr>
          <w:rFonts w:hint="eastAsia" w:ascii="宋体" w:hAnsi="宋体" w:cs="宋体"/>
          <w:sz w:val="24"/>
        </w:rPr>
        <w:t>5.1.2参加开标会的投标人代表要求按投标人须知前附表规定。</w:t>
      </w:r>
    </w:p>
    <w:p>
      <w:pPr>
        <w:pStyle w:val="6"/>
        <w:keepNext w:val="0"/>
        <w:keepLines w:val="0"/>
        <w:spacing w:line="360" w:lineRule="auto"/>
        <w:ind w:firstLine="0" w:firstLineChars="0"/>
        <w:rPr>
          <w:rFonts w:ascii="宋体" w:hAnsi="宋体" w:eastAsia="宋体" w:cs="宋体"/>
          <w:szCs w:val="24"/>
        </w:rPr>
      </w:pPr>
      <w:bookmarkStart w:id="264" w:name="_Toc387526208"/>
      <w:bookmarkStart w:id="265" w:name="_Toc387526404"/>
      <w:bookmarkStart w:id="266" w:name="_Toc387526312"/>
      <w:bookmarkStart w:id="267" w:name="_Toc508918269"/>
      <w:bookmarkStart w:id="268" w:name="_Toc11103"/>
      <w:bookmarkStart w:id="269" w:name="_Toc500510954"/>
      <w:r>
        <w:rPr>
          <w:rFonts w:ascii="宋体" w:hAnsi="宋体" w:eastAsia="宋体" w:cs="宋体"/>
          <w:szCs w:val="24"/>
        </w:rPr>
        <w:t xml:space="preserve">5.2 </w:t>
      </w:r>
      <w:r>
        <w:rPr>
          <w:rFonts w:hint="eastAsia" w:ascii="宋体" w:hAnsi="宋体" w:eastAsia="宋体" w:cs="宋体"/>
          <w:szCs w:val="24"/>
        </w:rPr>
        <w:t>开标程序</w:t>
      </w:r>
      <w:bookmarkEnd w:id="264"/>
      <w:bookmarkEnd w:id="265"/>
      <w:bookmarkEnd w:id="266"/>
      <w:bookmarkEnd w:id="267"/>
      <w:bookmarkEnd w:id="268"/>
      <w:bookmarkEnd w:id="269"/>
    </w:p>
    <w:p>
      <w:pPr>
        <w:snapToGrid w:val="0"/>
        <w:spacing w:line="360" w:lineRule="auto"/>
        <w:rPr>
          <w:rFonts w:ascii="宋体" w:hAnsi="宋体"/>
          <w:sz w:val="24"/>
        </w:rPr>
      </w:pPr>
      <w:bookmarkStart w:id="270" w:name="_Toc368760432"/>
      <w:bookmarkStart w:id="271" w:name="_Toc369077566"/>
      <w:bookmarkStart w:id="272" w:name="_Toc184635076"/>
      <w:bookmarkStart w:id="273" w:name="_Toc367894803"/>
      <w:bookmarkStart w:id="274" w:name="_Toc368759380"/>
      <w:bookmarkStart w:id="275" w:name="_Toc363329375"/>
      <w:r>
        <w:rPr>
          <w:rFonts w:hint="eastAsia" w:ascii="宋体" w:hAnsi="宋体"/>
          <w:sz w:val="24"/>
        </w:rPr>
        <w:t>5.2.1开标程序见投标人须知前附表。</w:t>
      </w:r>
    </w:p>
    <w:p>
      <w:pPr>
        <w:pStyle w:val="5"/>
        <w:keepNext w:val="0"/>
        <w:keepLines w:val="0"/>
        <w:spacing w:line="360" w:lineRule="auto"/>
        <w:rPr>
          <w:rFonts w:ascii="宋体" w:hAnsi="宋体" w:eastAsia="宋体" w:cs="宋体"/>
        </w:rPr>
      </w:pPr>
      <w:bookmarkStart w:id="276" w:name="_Toc387526313"/>
      <w:bookmarkStart w:id="277" w:name="_Toc22517"/>
      <w:bookmarkStart w:id="278" w:name="_Toc500510955"/>
      <w:bookmarkStart w:id="279" w:name="_Toc508918270"/>
      <w:bookmarkStart w:id="280" w:name="_Toc387526405"/>
      <w:bookmarkStart w:id="281" w:name="_Toc387526209"/>
      <w:r>
        <w:rPr>
          <w:rFonts w:ascii="宋体" w:hAnsi="宋体" w:eastAsia="宋体" w:cs="宋体"/>
        </w:rPr>
        <w:t>6.</w:t>
      </w:r>
      <w:r>
        <w:rPr>
          <w:rFonts w:hint="eastAsia" w:ascii="宋体" w:hAnsi="宋体" w:eastAsia="宋体" w:cs="宋体"/>
        </w:rPr>
        <w:t>评标</w:t>
      </w:r>
      <w:bookmarkEnd w:id="270"/>
      <w:bookmarkEnd w:id="271"/>
      <w:bookmarkEnd w:id="272"/>
      <w:bookmarkEnd w:id="273"/>
      <w:bookmarkEnd w:id="274"/>
      <w:bookmarkEnd w:id="275"/>
      <w:bookmarkEnd w:id="276"/>
      <w:bookmarkEnd w:id="277"/>
      <w:bookmarkEnd w:id="278"/>
      <w:bookmarkEnd w:id="279"/>
      <w:bookmarkEnd w:id="280"/>
      <w:bookmarkEnd w:id="281"/>
    </w:p>
    <w:p>
      <w:pPr>
        <w:pStyle w:val="6"/>
        <w:keepNext w:val="0"/>
        <w:keepLines w:val="0"/>
        <w:spacing w:line="360" w:lineRule="auto"/>
        <w:ind w:firstLine="0" w:firstLineChars="0"/>
        <w:rPr>
          <w:rFonts w:ascii="宋体" w:hAnsi="宋体" w:eastAsia="宋体" w:cs="宋体"/>
          <w:szCs w:val="24"/>
        </w:rPr>
      </w:pPr>
      <w:bookmarkStart w:id="282" w:name="_Toc508918271"/>
      <w:bookmarkStart w:id="283" w:name="_Toc500510956"/>
      <w:bookmarkStart w:id="284" w:name="_Toc9909"/>
      <w:bookmarkStart w:id="285" w:name="_Toc387526210"/>
      <w:bookmarkStart w:id="286" w:name="_Toc387526314"/>
      <w:bookmarkStart w:id="287" w:name="_Toc387526406"/>
      <w:r>
        <w:rPr>
          <w:rFonts w:ascii="宋体" w:hAnsi="宋体" w:eastAsia="宋体" w:cs="宋体"/>
          <w:szCs w:val="24"/>
        </w:rPr>
        <w:t xml:space="preserve">6.1 </w:t>
      </w:r>
      <w:r>
        <w:rPr>
          <w:rFonts w:hint="eastAsia" w:ascii="宋体" w:hAnsi="宋体" w:eastAsia="宋体" w:cs="宋体"/>
          <w:szCs w:val="24"/>
        </w:rPr>
        <w:t>评标委员会</w:t>
      </w:r>
      <w:bookmarkEnd w:id="282"/>
      <w:bookmarkEnd w:id="283"/>
      <w:bookmarkEnd w:id="284"/>
      <w:bookmarkEnd w:id="285"/>
      <w:bookmarkEnd w:id="286"/>
      <w:bookmarkEnd w:id="287"/>
    </w:p>
    <w:p>
      <w:pPr>
        <w:spacing w:line="360" w:lineRule="auto"/>
        <w:rPr>
          <w:rFonts w:ascii="宋体" w:cs="宋体"/>
          <w:sz w:val="24"/>
        </w:rPr>
      </w:pPr>
      <w:bookmarkStart w:id="288" w:name="_Toc269310951"/>
      <w:bookmarkStart w:id="289" w:name="_Toc324255922"/>
      <w:bookmarkStart w:id="290" w:name="_Toc339359778"/>
      <w:r>
        <w:rPr>
          <w:rFonts w:ascii="宋体" w:hAnsi="宋体" w:cs="宋体"/>
          <w:sz w:val="24"/>
        </w:rPr>
        <w:t xml:space="preserve">6.1.1 </w:t>
      </w:r>
      <w:r>
        <w:rPr>
          <w:rFonts w:hint="eastAsia" w:ascii="宋体" w:hAnsi="宋体" w:cs="宋体"/>
          <w:sz w:val="24"/>
        </w:rPr>
        <w:t>评标由招标人依法组建的评标委员会负责。评标委员会由招标人代表以及有关经济等方面的专家组成。</w:t>
      </w:r>
    </w:p>
    <w:p>
      <w:pPr>
        <w:spacing w:line="360" w:lineRule="auto"/>
        <w:rPr>
          <w:rFonts w:ascii="宋体" w:cs="宋体"/>
          <w:sz w:val="24"/>
        </w:rPr>
      </w:pPr>
      <w:r>
        <w:rPr>
          <w:rFonts w:ascii="宋体" w:hAnsi="宋体" w:cs="宋体"/>
          <w:sz w:val="24"/>
        </w:rPr>
        <w:t xml:space="preserve">6.1.2 </w:t>
      </w:r>
      <w:r>
        <w:rPr>
          <w:rFonts w:hint="eastAsia" w:ascii="宋体" w:hAnsi="宋体" w:cs="宋体"/>
          <w:sz w:val="24"/>
        </w:rPr>
        <w:t>评标委员会成员有下列情形之一的，应当回避：</w:t>
      </w:r>
    </w:p>
    <w:p>
      <w:pPr>
        <w:spacing w:line="360" w:lineRule="auto"/>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）投标人或投标人主要负责人的近亲属；</w:t>
      </w:r>
    </w:p>
    <w:p>
      <w:pPr>
        <w:spacing w:line="360" w:lineRule="auto"/>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）项目主管部门或者行政监督部门的人员；</w:t>
      </w:r>
    </w:p>
    <w:p>
      <w:pPr>
        <w:spacing w:line="360" w:lineRule="auto"/>
        <w:rPr>
          <w:rFonts w:asci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）与投标人有经济利益关系；</w:t>
      </w:r>
    </w:p>
    <w:p>
      <w:pPr>
        <w:spacing w:line="360" w:lineRule="auto"/>
        <w:rPr>
          <w:rFonts w:asci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）曾因在招标、评标以及其他与招标投标有关活动中从事违法行为而受过行政处罚或刑事处罚的。</w:t>
      </w:r>
    </w:p>
    <w:p>
      <w:pPr>
        <w:pStyle w:val="6"/>
        <w:keepNext w:val="0"/>
        <w:keepLines w:val="0"/>
        <w:spacing w:line="360" w:lineRule="auto"/>
        <w:ind w:firstLine="0" w:firstLineChars="0"/>
        <w:rPr>
          <w:rFonts w:ascii="宋体" w:hAnsi="宋体" w:eastAsia="宋体" w:cs="宋体"/>
          <w:szCs w:val="24"/>
        </w:rPr>
      </w:pPr>
      <w:bookmarkStart w:id="291" w:name="_Toc500510957"/>
      <w:bookmarkStart w:id="292" w:name="_Toc387526211"/>
      <w:bookmarkStart w:id="293" w:name="_Toc387526407"/>
      <w:bookmarkStart w:id="294" w:name="_Toc12316"/>
      <w:bookmarkStart w:id="295" w:name="_Toc387526315"/>
      <w:bookmarkStart w:id="296" w:name="_Toc508918272"/>
      <w:r>
        <w:rPr>
          <w:rFonts w:ascii="宋体" w:hAnsi="宋体" w:eastAsia="宋体" w:cs="宋体"/>
          <w:szCs w:val="24"/>
        </w:rPr>
        <w:t>6.2</w:t>
      </w:r>
      <w:bookmarkEnd w:id="288"/>
      <w:bookmarkEnd w:id="289"/>
      <w:bookmarkEnd w:id="290"/>
      <w:r>
        <w:rPr>
          <w:rFonts w:hint="eastAsia" w:ascii="宋体" w:hAnsi="宋体" w:eastAsia="宋体" w:cs="宋体"/>
          <w:szCs w:val="24"/>
        </w:rPr>
        <w:t>评标原则</w:t>
      </w:r>
      <w:bookmarkEnd w:id="291"/>
      <w:bookmarkEnd w:id="292"/>
      <w:bookmarkEnd w:id="293"/>
      <w:bookmarkEnd w:id="294"/>
      <w:bookmarkEnd w:id="295"/>
      <w:bookmarkEnd w:id="296"/>
    </w:p>
    <w:p>
      <w:pPr>
        <w:spacing w:line="360" w:lineRule="auto"/>
        <w:rPr>
          <w:rFonts w:ascii="宋体" w:cs="宋体"/>
          <w:sz w:val="24"/>
        </w:rPr>
      </w:pPr>
      <w:r>
        <w:rPr>
          <w:rFonts w:hint="eastAsia" w:ascii="宋体" w:hAnsi="宋体" w:cs="宋体"/>
          <w:sz w:val="24"/>
        </w:rPr>
        <w:t>评标活动遵循公平、公正、科学和择优的原则。</w:t>
      </w:r>
    </w:p>
    <w:p>
      <w:pPr>
        <w:pStyle w:val="6"/>
        <w:keepNext w:val="0"/>
        <w:keepLines w:val="0"/>
        <w:spacing w:line="360" w:lineRule="auto"/>
        <w:ind w:firstLine="0" w:firstLineChars="0"/>
        <w:rPr>
          <w:rFonts w:ascii="宋体" w:hAnsi="宋体" w:eastAsia="宋体" w:cs="宋体"/>
          <w:szCs w:val="24"/>
        </w:rPr>
      </w:pPr>
      <w:bookmarkStart w:id="297" w:name="_Toc246996209"/>
      <w:bookmarkStart w:id="298" w:name="_Toc152045565"/>
      <w:bookmarkStart w:id="299" w:name="_Toc387526316"/>
      <w:bookmarkStart w:id="300" w:name="_Toc152042341"/>
      <w:bookmarkStart w:id="301" w:name="_Toc508918273"/>
      <w:bookmarkStart w:id="302" w:name="_Toc387526212"/>
      <w:bookmarkStart w:id="303" w:name="_Toc500510958"/>
      <w:bookmarkStart w:id="304" w:name="_Toc387526408"/>
      <w:bookmarkStart w:id="305" w:name="_Toc247085723"/>
      <w:bookmarkStart w:id="306" w:name="_Toc179632583"/>
      <w:bookmarkStart w:id="307" w:name="_Toc144974533"/>
      <w:bookmarkStart w:id="308" w:name="_Toc246996952"/>
      <w:bookmarkStart w:id="309" w:name="_Toc6500"/>
      <w:bookmarkStart w:id="310" w:name="_Toc366679696"/>
      <w:r>
        <w:rPr>
          <w:rFonts w:ascii="宋体" w:hAnsi="宋体" w:eastAsia="宋体" w:cs="宋体"/>
          <w:szCs w:val="24"/>
        </w:rPr>
        <w:t xml:space="preserve">6.3 </w:t>
      </w:r>
      <w:r>
        <w:rPr>
          <w:rFonts w:hint="eastAsia" w:ascii="宋体" w:hAnsi="宋体" w:eastAsia="宋体" w:cs="宋体"/>
          <w:szCs w:val="24"/>
        </w:rPr>
        <w:t>评标</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spacing w:line="360" w:lineRule="auto"/>
        <w:rPr>
          <w:rFonts w:ascii="宋体" w:hAnsi="宋体" w:cs="宋体"/>
          <w:sz w:val="24"/>
        </w:rPr>
      </w:pPr>
      <w:r>
        <w:rPr>
          <w:rFonts w:hint="eastAsia" w:ascii="宋体" w:hAnsi="宋体" w:cs="宋体"/>
          <w:b/>
          <w:bCs/>
          <w:sz w:val="24"/>
        </w:rPr>
        <w:t>评标委员会按照第三章“评标办法”规定的方法、评审因素、标准和程序对投标文件进行评审</w:t>
      </w:r>
      <w:r>
        <w:rPr>
          <w:rFonts w:hint="eastAsia" w:ascii="宋体" w:hAnsi="宋体" w:cs="宋体"/>
          <w:sz w:val="24"/>
        </w:rPr>
        <w:t>。第三章“评标办法”没有规定的方法、评审因素和标准，不作为评标依据。</w:t>
      </w:r>
    </w:p>
    <w:p>
      <w:pPr>
        <w:pStyle w:val="6"/>
        <w:keepNext w:val="0"/>
        <w:keepLines w:val="0"/>
        <w:spacing w:line="360" w:lineRule="auto"/>
        <w:ind w:firstLine="0" w:firstLineChars="0"/>
        <w:rPr>
          <w:rFonts w:ascii="宋体" w:hAnsi="宋体" w:eastAsia="宋体" w:cs="宋体"/>
          <w:szCs w:val="24"/>
        </w:rPr>
      </w:pPr>
      <w:bookmarkStart w:id="311" w:name="_Toc397928607"/>
      <w:bookmarkStart w:id="312" w:name="_Toc6331"/>
      <w:r>
        <w:rPr>
          <w:rFonts w:hint="eastAsia" w:ascii="宋体" w:hAnsi="宋体" w:eastAsia="宋体" w:cs="宋体"/>
          <w:szCs w:val="24"/>
        </w:rPr>
        <w:t>6.4</w:t>
      </w:r>
      <w:bookmarkEnd w:id="311"/>
      <w:bookmarkEnd w:id="312"/>
      <w:r>
        <w:rPr>
          <w:rFonts w:hint="eastAsia" w:ascii="宋体" w:hAnsi="宋体" w:eastAsia="宋体" w:cs="宋体"/>
          <w:szCs w:val="24"/>
        </w:rPr>
        <w:t>投标文件有下列情况之一的，视为未能对招标文件作出实质性响应，应当作废标处理：</w:t>
      </w:r>
    </w:p>
    <w:p>
      <w:pPr>
        <w:pStyle w:val="6"/>
        <w:keepNext w:val="0"/>
        <w:keepLines w:val="0"/>
        <w:spacing w:line="360" w:lineRule="auto"/>
        <w:ind w:firstLine="0" w:firstLineChars="0"/>
        <w:rPr>
          <w:rFonts w:ascii="宋体" w:hAnsi="宋体" w:eastAsia="宋体" w:cs="宋体"/>
          <w:szCs w:val="24"/>
        </w:rPr>
      </w:pPr>
      <w:r>
        <w:rPr>
          <w:rFonts w:hint="eastAsia" w:ascii="宋体" w:hAnsi="宋体" w:eastAsia="宋体" w:cs="宋体"/>
          <w:szCs w:val="24"/>
        </w:rPr>
        <w:t>（1）投标文件中的投标函未加盖投标人的公章；</w:t>
      </w:r>
    </w:p>
    <w:p>
      <w:pPr>
        <w:pStyle w:val="6"/>
        <w:keepNext w:val="0"/>
        <w:keepLines w:val="0"/>
        <w:spacing w:line="360" w:lineRule="auto"/>
        <w:ind w:firstLine="0" w:firstLineChars="0"/>
        <w:rPr>
          <w:rFonts w:ascii="宋体" w:hAnsi="宋体" w:eastAsia="宋体" w:cs="宋体"/>
          <w:szCs w:val="24"/>
        </w:rPr>
      </w:pPr>
      <w:r>
        <w:rPr>
          <w:rFonts w:hint="eastAsia" w:ascii="宋体" w:hAnsi="宋体" w:eastAsia="宋体" w:cs="宋体"/>
          <w:szCs w:val="24"/>
        </w:rPr>
        <w:t>（2）投标文件中的投标函无企业法定代表人（或企业法定代表人委托代理人）印章（或签字）的；</w:t>
      </w:r>
    </w:p>
    <w:p>
      <w:pPr>
        <w:pStyle w:val="6"/>
        <w:keepNext w:val="0"/>
        <w:keepLines w:val="0"/>
        <w:spacing w:line="360" w:lineRule="auto"/>
        <w:ind w:firstLine="0" w:firstLineChars="0"/>
        <w:rPr>
          <w:rFonts w:ascii="宋体" w:hAnsi="宋体" w:eastAsia="宋体" w:cs="宋体"/>
          <w:szCs w:val="24"/>
        </w:rPr>
      </w:pPr>
      <w:r>
        <w:rPr>
          <w:rFonts w:hint="eastAsia" w:ascii="宋体" w:hAnsi="宋体" w:eastAsia="宋体" w:cs="宋体"/>
          <w:szCs w:val="24"/>
        </w:rPr>
        <w:t>（3）如投标函由企业法定代表人委托代理人加盖印章（或签字）的，企业法定代表人委托代理人没有合法、有效的委托书（原件）的；</w:t>
      </w:r>
    </w:p>
    <w:p>
      <w:pPr>
        <w:pStyle w:val="6"/>
        <w:keepNext w:val="0"/>
        <w:keepLines w:val="0"/>
        <w:spacing w:line="360" w:lineRule="auto"/>
        <w:ind w:firstLine="0" w:firstLineChars="0"/>
        <w:rPr>
          <w:rFonts w:ascii="宋体" w:hAnsi="宋体" w:eastAsia="宋体" w:cs="宋体"/>
          <w:szCs w:val="24"/>
        </w:rPr>
      </w:pPr>
      <w:r>
        <w:rPr>
          <w:rFonts w:hint="eastAsia" w:ascii="宋体" w:hAnsi="宋体" w:eastAsia="宋体" w:cs="宋体"/>
          <w:szCs w:val="24"/>
        </w:rPr>
        <w:t xml:space="preserve">（4）投标人资格条件不符合国家有关规定或招标文件要求的； </w:t>
      </w:r>
    </w:p>
    <w:p>
      <w:pPr>
        <w:pStyle w:val="6"/>
        <w:keepNext w:val="0"/>
        <w:keepLines w:val="0"/>
        <w:spacing w:line="360" w:lineRule="auto"/>
        <w:ind w:firstLine="0" w:firstLineChars="0"/>
        <w:rPr>
          <w:rFonts w:ascii="宋体" w:hAnsi="宋体" w:eastAsia="宋体" w:cs="宋体"/>
          <w:szCs w:val="24"/>
        </w:rPr>
      </w:pPr>
      <w:r>
        <w:rPr>
          <w:rFonts w:hint="eastAsia" w:ascii="宋体" w:hAnsi="宋体" w:eastAsia="宋体" w:cs="宋体"/>
          <w:szCs w:val="24"/>
        </w:rPr>
        <w:t>（5）组成联合体投标未提供联合体各方共同投标协议的；</w:t>
      </w:r>
    </w:p>
    <w:p>
      <w:pPr>
        <w:pStyle w:val="6"/>
        <w:keepNext w:val="0"/>
        <w:keepLines w:val="0"/>
        <w:spacing w:line="360" w:lineRule="auto"/>
        <w:ind w:firstLine="0" w:firstLineChars="0"/>
        <w:rPr>
          <w:rFonts w:ascii="宋体" w:hAnsi="宋体" w:eastAsia="宋体" w:cs="宋体"/>
          <w:szCs w:val="24"/>
        </w:rPr>
      </w:pPr>
      <w:r>
        <w:rPr>
          <w:rFonts w:ascii="宋体" w:hAnsi="宋体" w:eastAsia="宋体" w:cs="宋体"/>
          <w:szCs w:val="24"/>
        </w:rPr>
        <w:t>（</w:t>
      </w:r>
      <w:r>
        <w:rPr>
          <w:rFonts w:hint="eastAsia" w:ascii="宋体" w:hAnsi="宋体" w:eastAsia="宋体" w:cs="宋体"/>
          <w:szCs w:val="24"/>
        </w:rPr>
        <w:t>6</w:t>
      </w:r>
      <w:r>
        <w:rPr>
          <w:rFonts w:ascii="宋体" w:hAnsi="宋体" w:eastAsia="宋体" w:cs="宋体"/>
          <w:szCs w:val="24"/>
        </w:rPr>
        <w:t>）投标人名称或组织结构与资格预审时不一致的；</w:t>
      </w:r>
    </w:p>
    <w:p>
      <w:pPr>
        <w:pStyle w:val="6"/>
        <w:keepNext w:val="0"/>
        <w:keepLines w:val="0"/>
        <w:spacing w:line="360" w:lineRule="auto"/>
        <w:ind w:firstLine="0" w:firstLineChars="0"/>
        <w:rPr>
          <w:rFonts w:ascii="宋体" w:hAnsi="宋体" w:eastAsia="宋体" w:cs="宋体"/>
          <w:szCs w:val="24"/>
        </w:rPr>
      </w:pPr>
      <w:r>
        <w:rPr>
          <w:rFonts w:hint="eastAsia" w:ascii="宋体" w:hAnsi="宋体" w:eastAsia="宋体" w:cs="宋体"/>
          <w:szCs w:val="24"/>
        </w:rPr>
        <w:t>（7）在同一招标项目中，联合体成员以自己名义单独投标或者参加其他联合体投标的；</w:t>
      </w:r>
    </w:p>
    <w:p>
      <w:pPr>
        <w:pStyle w:val="6"/>
        <w:keepNext w:val="0"/>
        <w:keepLines w:val="0"/>
        <w:spacing w:line="360" w:lineRule="auto"/>
        <w:ind w:firstLine="0" w:firstLineChars="0"/>
        <w:rPr>
          <w:rFonts w:ascii="宋体" w:hAnsi="宋体" w:eastAsia="宋体" w:cs="宋体"/>
          <w:szCs w:val="24"/>
        </w:rPr>
      </w:pPr>
      <w:r>
        <w:rPr>
          <w:rFonts w:hint="eastAsia" w:ascii="宋体" w:hAnsi="宋体" w:eastAsia="宋体" w:cs="宋体"/>
          <w:szCs w:val="24"/>
        </w:rPr>
        <w:t>（8）联合体成员与资格预审确定的结果不一致的；</w:t>
      </w:r>
    </w:p>
    <w:p>
      <w:pPr>
        <w:pStyle w:val="6"/>
        <w:keepNext w:val="0"/>
        <w:keepLines w:val="0"/>
        <w:spacing w:line="360" w:lineRule="auto"/>
        <w:ind w:firstLine="0" w:firstLineChars="0"/>
        <w:rPr>
          <w:rFonts w:ascii="宋体" w:hAnsi="宋体" w:eastAsia="宋体" w:cs="宋体"/>
          <w:szCs w:val="24"/>
        </w:rPr>
      </w:pPr>
      <w:r>
        <w:rPr>
          <w:rFonts w:ascii="宋体" w:hAnsi="宋体" w:eastAsia="宋体" w:cs="宋体"/>
          <w:szCs w:val="24"/>
        </w:rPr>
        <w:t>（</w:t>
      </w:r>
      <w:r>
        <w:rPr>
          <w:rFonts w:hint="eastAsia" w:ascii="宋体" w:hAnsi="宋体" w:eastAsia="宋体" w:cs="宋体"/>
          <w:szCs w:val="24"/>
        </w:rPr>
        <w:t>9</w:t>
      </w:r>
      <w:r>
        <w:rPr>
          <w:rFonts w:ascii="宋体" w:hAnsi="宋体" w:eastAsia="宋体" w:cs="宋体"/>
          <w:szCs w:val="24"/>
        </w:rPr>
        <w:t>）除在投标截止时间前经招标人书面同意外，项目负责人与资格预审时不一致的；</w:t>
      </w:r>
    </w:p>
    <w:p>
      <w:pPr>
        <w:pStyle w:val="6"/>
        <w:keepNext w:val="0"/>
        <w:keepLines w:val="0"/>
        <w:spacing w:line="360" w:lineRule="auto"/>
        <w:ind w:firstLine="0" w:firstLineChars="0"/>
        <w:rPr>
          <w:rFonts w:ascii="宋体" w:hAnsi="宋体" w:eastAsia="宋体" w:cs="宋体"/>
          <w:szCs w:val="24"/>
        </w:rPr>
      </w:pPr>
      <w:r>
        <w:rPr>
          <w:rFonts w:hint="eastAsia" w:ascii="宋体" w:hAnsi="宋体" w:eastAsia="宋体" w:cs="宋体"/>
          <w:szCs w:val="24"/>
        </w:rPr>
        <w:t>（10）投标文件不满足招标文件技术规格中加注星号（"*"）的主要参数要求或加注星号（"*"）的主要参数无技术资料支持的；或投标文件负偏离</w:t>
      </w:r>
      <w:r>
        <w:rPr>
          <w:rFonts w:ascii="宋体" w:hAnsi="宋体" w:eastAsia="宋体" w:cs="宋体"/>
          <w:szCs w:val="24"/>
        </w:rPr>
        <w:t>招标文件第五章项目需求中的技术要求的，</w:t>
      </w:r>
      <w:r>
        <w:rPr>
          <w:rFonts w:hint="eastAsia" w:ascii="宋体" w:hAnsi="宋体" w:eastAsia="宋体" w:cs="宋体"/>
          <w:szCs w:val="24"/>
        </w:rPr>
        <w:t>或</w:t>
      </w:r>
      <w:r>
        <w:rPr>
          <w:rFonts w:ascii="宋体" w:hAnsi="宋体" w:eastAsia="宋体" w:cs="宋体"/>
          <w:szCs w:val="24"/>
        </w:rPr>
        <w:t>未提供</w:t>
      </w:r>
      <w:r>
        <w:rPr>
          <w:rFonts w:hint="eastAsia" w:ascii="宋体" w:hAnsi="宋体" w:eastAsia="宋体" w:cs="宋体"/>
          <w:szCs w:val="24"/>
        </w:rPr>
        <w:t>技术规格偏离表的。</w:t>
      </w:r>
    </w:p>
    <w:p>
      <w:pPr>
        <w:pStyle w:val="6"/>
        <w:keepNext w:val="0"/>
        <w:keepLines w:val="0"/>
        <w:spacing w:line="360" w:lineRule="auto"/>
        <w:ind w:firstLine="0" w:firstLineChars="0"/>
        <w:rPr>
          <w:rFonts w:ascii="宋体" w:hAnsi="宋体" w:eastAsia="宋体" w:cs="宋体"/>
          <w:szCs w:val="24"/>
        </w:rPr>
      </w:pPr>
      <w:r>
        <w:rPr>
          <w:rFonts w:hint="eastAsia" w:ascii="宋体" w:hAnsi="宋体" w:eastAsia="宋体" w:cs="宋体"/>
          <w:szCs w:val="24"/>
        </w:rPr>
        <w:t>（11）投标文件技术规格中一般参数超出招标文件允许偏离的最大范围或最高项数的；</w:t>
      </w:r>
    </w:p>
    <w:p>
      <w:pPr>
        <w:pStyle w:val="6"/>
        <w:keepNext w:val="0"/>
        <w:keepLines w:val="0"/>
        <w:spacing w:line="360" w:lineRule="auto"/>
        <w:ind w:firstLine="0" w:firstLineChars="0"/>
        <w:rPr>
          <w:rFonts w:ascii="宋体" w:hAnsi="宋体" w:eastAsia="宋体" w:cs="宋体"/>
          <w:szCs w:val="24"/>
        </w:rPr>
      </w:pPr>
      <w:r>
        <w:rPr>
          <w:rFonts w:hint="eastAsia" w:ascii="宋体" w:hAnsi="宋体" w:eastAsia="宋体" w:cs="宋体"/>
          <w:szCs w:val="24"/>
        </w:rPr>
        <w:t>（12）投标报价低于成本或者高于招标文件设定的最高投标限价（总价）</w:t>
      </w:r>
      <w:r>
        <w:rPr>
          <w:rFonts w:hint="eastAsia" w:ascii="宋体" w:hAnsi="宋体" w:eastAsia="宋体" w:cs="宋体"/>
          <w:szCs w:val="24"/>
          <w:lang w:eastAsia="zh-CN"/>
        </w:rPr>
        <w:t>、</w:t>
      </w:r>
      <w:r>
        <w:rPr>
          <w:rFonts w:hint="eastAsia" w:ascii="宋体" w:hAnsi="宋体" w:eastAsia="宋体" w:cs="宋体"/>
          <w:szCs w:val="24"/>
        </w:rPr>
        <w:t xml:space="preserve">每个分项（单价）限价的； </w:t>
      </w:r>
    </w:p>
    <w:p>
      <w:pPr>
        <w:pStyle w:val="6"/>
        <w:keepNext w:val="0"/>
        <w:keepLines w:val="0"/>
        <w:spacing w:line="360" w:lineRule="auto"/>
        <w:ind w:firstLine="0" w:firstLineChars="0"/>
        <w:rPr>
          <w:rFonts w:ascii="宋体" w:hAnsi="宋体" w:eastAsia="宋体" w:cs="宋体"/>
          <w:szCs w:val="24"/>
        </w:rPr>
      </w:pPr>
      <w:r>
        <w:rPr>
          <w:rFonts w:hint="eastAsia" w:ascii="宋体" w:hAnsi="宋体" w:eastAsia="宋体" w:cs="宋体"/>
          <w:szCs w:val="24"/>
        </w:rPr>
        <w:t xml:space="preserve">（13）明显不符合技术规范、技术标准的要求的； </w:t>
      </w:r>
    </w:p>
    <w:p>
      <w:pPr>
        <w:pStyle w:val="6"/>
        <w:keepNext w:val="0"/>
        <w:keepLines w:val="0"/>
        <w:spacing w:line="360" w:lineRule="auto"/>
        <w:ind w:firstLine="0" w:firstLineChars="0"/>
        <w:rPr>
          <w:rFonts w:ascii="宋体" w:hAnsi="宋体" w:eastAsia="宋体" w:cs="宋体"/>
          <w:szCs w:val="24"/>
        </w:rPr>
      </w:pPr>
      <w:r>
        <w:rPr>
          <w:rFonts w:hint="eastAsia" w:ascii="宋体" w:hAnsi="宋体" w:eastAsia="宋体" w:cs="宋体"/>
          <w:szCs w:val="24"/>
        </w:rPr>
        <w:t xml:space="preserve">（14）投标文件载明的货物包装方式、检验标准和方法等不符合招标文件的要求的； </w:t>
      </w:r>
    </w:p>
    <w:p>
      <w:pPr>
        <w:pStyle w:val="6"/>
        <w:keepNext w:val="0"/>
        <w:keepLines w:val="0"/>
        <w:spacing w:line="360" w:lineRule="auto"/>
        <w:ind w:firstLine="0" w:firstLineChars="0"/>
        <w:rPr>
          <w:rFonts w:ascii="宋体" w:hAnsi="宋体" w:eastAsia="宋体" w:cs="宋体"/>
          <w:szCs w:val="24"/>
        </w:rPr>
      </w:pPr>
      <w:r>
        <w:rPr>
          <w:rFonts w:hint="eastAsia" w:ascii="宋体" w:hAnsi="宋体" w:eastAsia="宋体" w:cs="宋体"/>
          <w:szCs w:val="24"/>
        </w:rPr>
        <w:t>（15）投标文件提出的工程验收、计量、价款结算和支付办法不能满足招标文件要求或招标人不能接受；</w:t>
      </w:r>
    </w:p>
    <w:p>
      <w:pPr>
        <w:pStyle w:val="6"/>
        <w:keepNext w:val="0"/>
        <w:keepLines w:val="0"/>
        <w:spacing w:line="360" w:lineRule="auto"/>
        <w:ind w:firstLine="0" w:firstLineChars="0"/>
        <w:rPr>
          <w:rFonts w:ascii="宋体" w:hAnsi="宋体" w:eastAsia="宋体" w:cs="宋体"/>
          <w:szCs w:val="24"/>
        </w:rPr>
      </w:pPr>
      <w:r>
        <w:rPr>
          <w:rFonts w:hint="eastAsia" w:ascii="宋体" w:hAnsi="宋体" w:eastAsia="宋体" w:cs="宋体"/>
          <w:szCs w:val="24"/>
        </w:rPr>
        <w:t xml:space="preserve">（16）不同投标人的投标文件出现了评标委员会认为不应当雷同的情况的； </w:t>
      </w:r>
    </w:p>
    <w:p>
      <w:pPr>
        <w:pStyle w:val="6"/>
        <w:keepNext w:val="0"/>
        <w:keepLines w:val="0"/>
        <w:spacing w:line="360" w:lineRule="auto"/>
        <w:ind w:firstLine="0" w:firstLineChars="0"/>
        <w:rPr>
          <w:rFonts w:ascii="宋体" w:hAnsi="宋体" w:eastAsia="宋体" w:cs="宋体"/>
          <w:szCs w:val="24"/>
        </w:rPr>
      </w:pPr>
      <w:r>
        <w:rPr>
          <w:rFonts w:hint="eastAsia" w:ascii="宋体" w:hAnsi="宋体" w:eastAsia="宋体" w:cs="宋体"/>
          <w:szCs w:val="24"/>
        </w:rPr>
        <w:t>（17）以他人的名义投标、串通投标、以行贿手段谋取中标或者以其他弄虚作假方式投标的。</w:t>
      </w:r>
    </w:p>
    <w:p>
      <w:pPr>
        <w:pStyle w:val="6"/>
        <w:keepNext w:val="0"/>
        <w:keepLines w:val="0"/>
        <w:spacing w:line="360" w:lineRule="auto"/>
        <w:ind w:firstLine="0" w:firstLineChars="0"/>
        <w:rPr>
          <w:rFonts w:ascii="宋体" w:hAnsi="宋体" w:eastAsia="宋体" w:cs="宋体"/>
          <w:szCs w:val="24"/>
        </w:rPr>
      </w:pPr>
      <w:r>
        <w:rPr>
          <w:rFonts w:hint="eastAsia" w:ascii="宋体" w:hAnsi="宋体" w:eastAsia="宋体" w:cs="宋体"/>
          <w:szCs w:val="24"/>
        </w:rPr>
        <w:t>（18）投标文件的组成不符合招标文件要求的；</w:t>
      </w:r>
    </w:p>
    <w:p>
      <w:pPr>
        <w:pStyle w:val="6"/>
        <w:keepNext w:val="0"/>
        <w:keepLines w:val="0"/>
        <w:spacing w:line="360" w:lineRule="auto"/>
        <w:ind w:firstLine="0" w:firstLineChars="0"/>
        <w:rPr>
          <w:rFonts w:ascii="宋体" w:hAnsi="宋体" w:eastAsia="宋体" w:cs="宋体"/>
          <w:szCs w:val="24"/>
        </w:rPr>
      </w:pPr>
      <w:r>
        <w:rPr>
          <w:rFonts w:hint="eastAsia" w:ascii="宋体" w:hAnsi="宋体" w:eastAsia="宋体" w:cs="宋体"/>
          <w:szCs w:val="24"/>
        </w:rPr>
        <w:t>（19）投标人递交两份或多份内容不同的投标文件，或在一份投标文件中对同一招标货物报有两个或多个报价，且未声明哪一个为最终报价的，按招标文件规定提交备选投标方案的除外；</w:t>
      </w:r>
    </w:p>
    <w:p>
      <w:pPr>
        <w:pStyle w:val="6"/>
        <w:keepNext w:val="0"/>
        <w:keepLines w:val="0"/>
        <w:spacing w:line="360" w:lineRule="auto"/>
        <w:ind w:firstLine="0" w:firstLineChars="0"/>
        <w:rPr>
          <w:rFonts w:ascii="宋体" w:hAnsi="宋体" w:eastAsia="宋体" w:cs="宋体"/>
          <w:szCs w:val="24"/>
        </w:rPr>
      </w:pPr>
      <w:r>
        <w:rPr>
          <w:rFonts w:hint="eastAsia" w:ascii="宋体" w:hAnsi="宋体" w:eastAsia="宋体" w:cs="宋体"/>
          <w:szCs w:val="24"/>
        </w:rPr>
        <w:t>（20）投标文件不符合招标文件交货期、质量要求、货物清单等的；</w:t>
      </w:r>
      <w:r>
        <w:rPr>
          <w:rFonts w:ascii="宋体" w:hAnsi="宋体" w:eastAsia="宋体" w:cs="宋体"/>
          <w:szCs w:val="24"/>
        </w:rPr>
        <w:t xml:space="preserve"> </w:t>
      </w:r>
    </w:p>
    <w:p>
      <w:pPr>
        <w:pStyle w:val="6"/>
        <w:keepNext w:val="0"/>
        <w:keepLines w:val="0"/>
        <w:spacing w:line="360" w:lineRule="auto"/>
        <w:ind w:firstLine="0" w:firstLineChars="0"/>
        <w:rPr>
          <w:rFonts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1</w:t>
      </w:r>
      <w:r>
        <w:rPr>
          <w:rFonts w:hint="eastAsia" w:ascii="宋体" w:hAnsi="宋体" w:eastAsia="宋体" w:cs="宋体"/>
          <w:szCs w:val="24"/>
        </w:rPr>
        <w:t xml:space="preserve">）投标文件载明的招标项目完成期限超过招标文件规定的期限的； </w:t>
      </w:r>
    </w:p>
    <w:p>
      <w:pPr>
        <w:pStyle w:val="6"/>
        <w:keepNext w:val="0"/>
        <w:keepLines w:val="0"/>
        <w:spacing w:line="360" w:lineRule="auto"/>
        <w:ind w:firstLine="0" w:firstLineChars="0"/>
        <w:rPr>
          <w:rFonts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2</w:t>
      </w:r>
      <w:r>
        <w:rPr>
          <w:rFonts w:hint="eastAsia" w:ascii="宋体" w:hAnsi="宋体" w:eastAsia="宋体" w:cs="宋体"/>
          <w:szCs w:val="24"/>
        </w:rPr>
        <w:t>）投标文件未能对招标文件要求内容作出实质性响应的；</w:t>
      </w:r>
    </w:p>
    <w:p>
      <w:pPr>
        <w:pStyle w:val="6"/>
        <w:keepNext w:val="0"/>
        <w:keepLines w:val="0"/>
        <w:spacing w:line="360" w:lineRule="auto"/>
        <w:ind w:firstLine="0" w:firstLineChars="0"/>
      </w:pPr>
      <w:r>
        <w:rPr>
          <w:rFonts w:hint="eastAsia" w:ascii="宋体" w:hAnsi="宋体" w:eastAsia="宋体" w:cs="宋体"/>
          <w:szCs w:val="24"/>
        </w:rPr>
        <w:t>（2</w:t>
      </w:r>
      <w:r>
        <w:rPr>
          <w:rFonts w:hint="eastAsia" w:ascii="宋体" w:hAnsi="宋体" w:eastAsia="宋体" w:cs="宋体"/>
          <w:szCs w:val="24"/>
          <w:lang w:val="en-US" w:eastAsia="zh-CN"/>
        </w:rPr>
        <w:t>3</w:t>
      </w:r>
      <w:r>
        <w:rPr>
          <w:rFonts w:hint="eastAsia" w:ascii="宋体" w:hAnsi="宋体" w:eastAsia="宋体" w:cs="宋体"/>
          <w:szCs w:val="24"/>
        </w:rPr>
        <w:t>）不符合招标文件有关样品（暗标）要求的或样品照片在投标文件中出现的</w:t>
      </w:r>
      <w:r>
        <w:rPr>
          <w:rFonts w:hint="eastAsia" w:ascii="宋体" w:hAnsi="宋体" w:eastAsia="宋体" w:cs="宋体"/>
          <w:color w:val="000000"/>
          <w:kern w:val="0"/>
          <w:szCs w:val="24"/>
          <w:lang w:bidi="ar"/>
        </w:rPr>
        <w:t xml:space="preserve">； </w:t>
      </w:r>
    </w:p>
    <w:p>
      <w:pPr>
        <w:pStyle w:val="6"/>
        <w:keepNext w:val="0"/>
        <w:keepLines w:val="0"/>
        <w:spacing w:line="360" w:lineRule="auto"/>
        <w:ind w:firstLine="0" w:firstLineChars="0"/>
      </w:pPr>
      <w:r>
        <w:rPr>
          <w:rFonts w:ascii="宋体" w:hAnsi="宋体" w:eastAsia="宋体" w:cs="宋体"/>
          <w:szCs w:val="24"/>
        </w:rPr>
        <w:t>（</w:t>
      </w:r>
      <w:r>
        <w:rPr>
          <w:rFonts w:hint="eastAsia" w:ascii="宋体" w:hAnsi="宋体" w:eastAsia="宋体" w:cs="宋体"/>
          <w:szCs w:val="24"/>
        </w:rPr>
        <w:t>2</w:t>
      </w:r>
      <w:r>
        <w:rPr>
          <w:rFonts w:hint="eastAsia" w:ascii="宋体" w:hAnsi="宋体" w:eastAsia="宋体" w:cs="宋体"/>
          <w:szCs w:val="24"/>
          <w:lang w:val="en-US" w:eastAsia="zh-CN"/>
        </w:rPr>
        <w:t>4</w:t>
      </w:r>
      <w:r>
        <w:rPr>
          <w:rFonts w:ascii="宋体" w:hAnsi="宋体" w:eastAsia="宋体" w:cs="宋体"/>
          <w:szCs w:val="24"/>
        </w:rPr>
        <w:t>）投标文件关键内容模糊、无法辨认的。</w:t>
      </w:r>
    </w:p>
    <w:p>
      <w:pPr>
        <w:pStyle w:val="6"/>
        <w:keepNext w:val="0"/>
        <w:keepLines w:val="0"/>
        <w:spacing w:line="360" w:lineRule="auto"/>
        <w:ind w:firstLine="0" w:firstLineChars="0"/>
        <w:rPr>
          <w:rFonts w:ascii="宋体" w:hAnsi="宋体" w:eastAsia="宋体" w:cs="宋体"/>
          <w:szCs w:val="24"/>
        </w:rPr>
      </w:pPr>
      <w:r>
        <w:rPr>
          <w:rFonts w:hint="eastAsia" w:ascii="宋体" w:hAnsi="宋体" w:eastAsia="宋体" w:cs="宋体"/>
          <w:szCs w:val="24"/>
        </w:rPr>
        <w:t>6.5投标报价有算术错误的，评标委员会按以下原则对投标报价进行修正，修正的价格经投标人书面确认后具有约束力。</w:t>
      </w:r>
    </w:p>
    <w:p>
      <w:pPr>
        <w:pStyle w:val="6"/>
        <w:keepNext w:val="0"/>
        <w:keepLines w:val="0"/>
        <w:spacing w:line="360" w:lineRule="auto"/>
        <w:ind w:firstLine="0" w:firstLineChars="0"/>
        <w:rPr>
          <w:rFonts w:ascii="宋体" w:hAnsi="宋体" w:eastAsia="宋体" w:cs="宋体"/>
          <w:szCs w:val="24"/>
        </w:rPr>
      </w:pPr>
      <w:r>
        <w:rPr>
          <w:rFonts w:hint="eastAsia" w:ascii="宋体" w:hAnsi="宋体" w:eastAsia="宋体" w:cs="宋体"/>
          <w:szCs w:val="24"/>
        </w:rPr>
        <w:t>(1）投标文件中的大写金额与小写金额不一致的，以大写金额为准；</w:t>
      </w:r>
    </w:p>
    <w:p>
      <w:pPr>
        <w:pStyle w:val="6"/>
        <w:keepNext w:val="0"/>
        <w:keepLines w:val="0"/>
        <w:spacing w:line="360" w:lineRule="auto"/>
        <w:ind w:firstLine="0" w:firstLineChars="0"/>
        <w:rPr>
          <w:rFonts w:ascii="宋体" w:hAnsi="宋体" w:eastAsia="宋体" w:cs="宋体"/>
          <w:szCs w:val="24"/>
        </w:rPr>
      </w:pPr>
      <w:r>
        <w:rPr>
          <w:rFonts w:hint="eastAsia" w:ascii="宋体" w:hAnsi="宋体" w:eastAsia="宋体" w:cs="宋体"/>
          <w:szCs w:val="24"/>
        </w:rPr>
        <w:t>(2）总价金额与依据单价计算出的结果不一致的，以单价金额为准修正总价，但单价金额小数点有明显错误的除外。</w:t>
      </w:r>
    </w:p>
    <w:p>
      <w:pPr>
        <w:pStyle w:val="6"/>
        <w:keepNext w:val="0"/>
        <w:keepLines w:val="0"/>
        <w:spacing w:line="360" w:lineRule="auto"/>
        <w:ind w:firstLine="0" w:firstLineChars="0"/>
        <w:rPr>
          <w:rFonts w:ascii="宋体" w:hAnsi="宋体" w:eastAsia="宋体" w:cs="宋体"/>
          <w:szCs w:val="24"/>
        </w:rPr>
      </w:pPr>
      <w:bookmarkStart w:id="313" w:name="_Toc5826"/>
      <w:bookmarkStart w:id="314" w:name="_Toc397928609"/>
      <w:r>
        <w:rPr>
          <w:rFonts w:hint="eastAsia" w:ascii="宋体" w:hAnsi="宋体" w:eastAsia="宋体" w:cs="宋体"/>
          <w:szCs w:val="24"/>
        </w:rPr>
        <w:t>6.6投标文件的澄清和补正</w:t>
      </w:r>
      <w:bookmarkEnd w:id="313"/>
      <w:bookmarkEnd w:id="314"/>
    </w:p>
    <w:p>
      <w:pPr>
        <w:pStyle w:val="6"/>
        <w:keepNext w:val="0"/>
        <w:keepLines w:val="0"/>
        <w:spacing w:line="360" w:lineRule="auto"/>
        <w:ind w:firstLine="0" w:firstLineChars="0"/>
        <w:rPr>
          <w:rFonts w:ascii="宋体" w:hAnsi="宋体" w:eastAsia="宋体" w:cs="宋体"/>
          <w:szCs w:val="24"/>
        </w:rPr>
      </w:pPr>
      <w:r>
        <w:rPr>
          <w:rFonts w:hint="eastAsia" w:ascii="宋体" w:hAnsi="宋体" w:eastAsia="宋体" w:cs="宋体"/>
          <w:szCs w:val="24"/>
        </w:rPr>
        <w:t>（1）在评标过程中，评标委员会可以书面形式要求投标人对所提交投标文件中不明确的内容进行书面澄清或说明，或者对细微偏差进行补正。评标委员会不接受投标人主动提出的澄清、说明或补正。</w:t>
      </w:r>
    </w:p>
    <w:p>
      <w:pPr>
        <w:pStyle w:val="6"/>
        <w:keepNext w:val="0"/>
        <w:keepLines w:val="0"/>
        <w:spacing w:line="360" w:lineRule="auto"/>
        <w:ind w:firstLine="0" w:firstLineChars="0"/>
        <w:rPr>
          <w:rFonts w:ascii="宋体" w:hAnsi="宋体" w:eastAsia="宋体" w:cs="宋体"/>
          <w:szCs w:val="24"/>
        </w:rPr>
      </w:pPr>
      <w:r>
        <w:rPr>
          <w:rFonts w:hint="eastAsia" w:ascii="宋体" w:hAnsi="宋体" w:eastAsia="宋体" w:cs="宋体"/>
          <w:szCs w:val="24"/>
        </w:rPr>
        <w:t>（2）澄清、说明和补正不得改变投标文件的实质性内容（算术性错误修正的除外）。投标人的书面澄清、说明和补正属于投标文件的组成部分。</w:t>
      </w:r>
    </w:p>
    <w:p>
      <w:pPr>
        <w:pStyle w:val="6"/>
        <w:keepNext w:val="0"/>
        <w:keepLines w:val="0"/>
        <w:spacing w:line="360" w:lineRule="auto"/>
        <w:ind w:firstLine="0" w:firstLineChars="0"/>
        <w:rPr>
          <w:rFonts w:ascii="宋体" w:cs="宋体"/>
        </w:rPr>
      </w:pPr>
      <w:r>
        <w:rPr>
          <w:rFonts w:hint="eastAsia" w:ascii="宋体" w:hAnsi="宋体" w:eastAsia="宋体" w:cs="宋体"/>
          <w:szCs w:val="24"/>
        </w:rPr>
        <w:t>（3）评标委员会对投标人提交的澄清、说明或补正有疑问的，可以要求投标人进一步澄清、说明或补正。</w:t>
      </w:r>
    </w:p>
    <w:p>
      <w:pPr>
        <w:pStyle w:val="5"/>
        <w:keepNext w:val="0"/>
        <w:keepLines w:val="0"/>
        <w:spacing w:line="360" w:lineRule="auto"/>
        <w:rPr>
          <w:rFonts w:ascii="宋体" w:hAnsi="宋体" w:eastAsia="宋体" w:cs="宋体"/>
        </w:rPr>
      </w:pPr>
      <w:bookmarkStart w:id="315" w:name="_Toc508918275"/>
      <w:bookmarkStart w:id="316" w:name="_Toc387526409"/>
      <w:bookmarkStart w:id="317" w:name="_Toc387526213"/>
      <w:bookmarkStart w:id="318" w:name="_Toc387526317"/>
      <w:bookmarkStart w:id="319" w:name="_Toc500510960"/>
      <w:bookmarkStart w:id="320" w:name="_Toc22985"/>
      <w:bookmarkStart w:id="321" w:name="_Toc368760433"/>
      <w:bookmarkStart w:id="322" w:name="_Toc369077567"/>
      <w:r>
        <w:rPr>
          <w:rFonts w:ascii="宋体" w:hAnsi="宋体" w:eastAsia="宋体" w:cs="宋体"/>
        </w:rPr>
        <w:t>7.</w:t>
      </w:r>
      <w:r>
        <w:rPr>
          <w:rFonts w:hint="eastAsia" w:ascii="宋体" w:hAnsi="宋体" w:eastAsia="宋体" w:cs="宋体"/>
        </w:rPr>
        <w:t>评标结果公示</w:t>
      </w:r>
      <w:bookmarkEnd w:id="315"/>
      <w:bookmarkEnd w:id="316"/>
      <w:bookmarkEnd w:id="317"/>
      <w:bookmarkEnd w:id="318"/>
      <w:bookmarkEnd w:id="319"/>
      <w:bookmarkEnd w:id="320"/>
    </w:p>
    <w:p>
      <w:pPr>
        <w:spacing w:line="360" w:lineRule="auto"/>
        <w:rPr>
          <w:rFonts w:ascii="宋体" w:cs="宋体"/>
          <w:sz w:val="24"/>
        </w:rPr>
      </w:pPr>
      <w:r>
        <w:rPr>
          <w:rFonts w:ascii="宋体" w:hAnsi="宋体" w:cs="宋体"/>
          <w:sz w:val="24"/>
        </w:rPr>
        <w:t xml:space="preserve">7.1 </w:t>
      </w:r>
      <w:r>
        <w:rPr>
          <w:rFonts w:hint="eastAsia" w:ascii="宋体" w:hAnsi="宋体" w:cs="宋体"/>
          <w:sz w:val="24"/>
        </w:rPr>
        <w:t>招标人在收到评标报告之日起</w:t>
      </w:r>
      <w:r>
        <w:rPr>
          <w:rFonts w:ascii="宋体" w:hAnsi="宋体" w:cs="宋体"/>
          <w:sz w:val="24"/>
        </w:rPr>
        <w:t>3</w:t>
      </w:r>
      <w:r>
        <w:rPr>
          <w:rFonts w:hint="eastAsia" w:ascii="宋体" w:hAnsi="宋体" w:cs="宋体"/>
          <w:sz w:val="24"/>
        </w:rPr>
        <w:t>日内，在与招标公告相同的发布媒介上对评标结果进行公示，公示期不少于</w:t>
      </w:r>
      <w:r>
        <w:rPr>
          <w:rFonts w:ascii="宋体" w:hAnsi="宋体" w:cs="宋体"/>
          <w:sz w:val="24"/>
        </w:rPr>
        <w:t>3</w:t>
      </w:r>
      <w:r>
        <w:rPr>
          <w:rFonts w:hint="eastAsia" w:ascii="宋体" w:hAnsi="宋体" w:cs="宋体"/>
          <w:sz w:val="24"/>
        </w:rPr>
        <w:t>日。</w:t>
      </w:r>
    </w:p>
    <w:p>
      <w:pPr>
        <w:spacing w:line="360" w:lineRule="auto"/>
        <w:rPr>
          <w:rFonts w:ascii="宋体" w:cs="宋体"/>
          <w:sz w:val="24"/>
        </w:rPr>
      </w:pPr>
      <w:r>
        <w:rPr>
          <w:rFonts w:ascii="宋体" w:hAnsi="宋体" w:cs="宋体"/>
          <w:sz w:val="24"/>
        </w:rPr>
        <w:t xml:space="preserve">7.2 </w:t>
      </w:r>
      <w:r>
        <w:rPr>
          <w:rFonts w:hint="eastAsia" w:ascii="宋体" w:hAnsi="宋体" w:cs="宋体"/>
          <w:sz w:val="24"/>
        </w:rPr>
        <w:t>投标人或者其他利害关系人对评标结果有异议的，应当在评标结果公示期间向招标人提出异议。招标人自收到异议之日起</w:t>
      </w:r>
      <w:r>
        <w:rPr>
          <w:rFonts w:ascii="宋体" w:hAnsi="宋体" w:cs="宋体"/>
          <w:sz w:val="24"/>
        </w:rPr>
        <w:t>3</w:t>
      </w:r>
      <w:r>
        <w:rPr>
          <w:rFonts w:hint="eastAsia" w:ascii="宋体" w:hAnsi="宋体" w:cs="宋体"/>
          <w:sz w:val="24"/>
        </w:rPr>
        <w:t>日内作出答复，并在作出答复前暂停招标投标活动。</w:t>
      </w:r>
    </w:p>
    <w:p>
      <w:pPr>
        <w:pStyle w:val="5"/>
        <w:keepNext w:val="0"/>
        <w:keepLines w:val="0"/>
        <w:spacing w:line="360" w:lineRule="auto"/>
        <w:rPr>
          <w:rFonts w:ascii="宋体" w:hAnsi="宋体" w:eastAsia="宋体" w:cs="宋体"/>
        </w:rPr>
      </w:pPr>
      <w:bookmarkStart w:id="323" w:name="_Toc387526318"/>
      <w:bookmarkStart w:id="324" w:name="_Toc508918276"/>
      <w:bookmarkStart w:id="325" w:name="_Toc387526410"/>
      <w:bookmarkStart w:id="326" w:name="_Toc387526214"/>
      <w:bookmarkStart w:id="327" w:name="_Toc15824"/>
      <w:bookmarkStart w:id="328" w:name="_Toc500510961"/>
      <w:r>
        <w:rPr>
          <w:rFonts w:ascii="宋体" w:hAnsi="宋体" w:eastAsia="宋体" w:cs="宋体"/>
        </w:rPr>
        <w:t>8.</w:t>
      </w:r>
      <w:r>
        <w:rPr>
          <w:rFonts w:hint="eastAsia" w:ascii="宋体" w:hAnsi="宋体" w:eastAsia="宋体" w:cs="宋体"/>
        </w:rPr>
        <w:t>合同授予</w:t>
      </w:r>
      <w:bookmarkEnd w:id="249"/>
      <w:bookmarkEnd w:id="250"/>
      <w:bookmarkEnd w:id="251"/>
      <w:bookmarkEnd w:id="252"/>
      <w:bookmarkEnd w:id="253"/>
      <w:bookmarkEnd w:id="254"/>
      <w:bookmarkEnd w:id="255"/>
      <w:bookmarkEnd w:id="256"/>
      <w:bookmarkEnd w:id="257"/>
      <w:bookmarkEnd w:id="321"/>
      <w:bookmarkEnd w:id="322"/>
      <w:bookmarkEnd w:id="323"/>
      <w:bookmarkEnd w:id="324"/>
      <w:bookmarkEnd w:id="325"/>
      <w:bookmarkEnd w:id="326"/>
      <w:bookmarkEnd w:id="327"/>
      <w:bookmarkEnd w:id="328"/>
    </w:p>
    <w:p>
      <w:pPr>
        <w:spacing w:line="360" w:lineRule="auto"/>
        <w:outlineLvl w:val="0"/>
        <w:rPr>
          <w:rFonts w:ascii="宋体" w:hAnsi="宋体" w:cs="宋体"/>
          <w:sz w:val="24"/>
        </w:rPr>
      </w:pPr>
      <w:bookmarkStart w:id="329" w:name="_Toc387526411"/>
      <w:bookmarkStart w:id="330" w:name="_Toc500510962"/>
      <w:bookmarkStart w:id="331" w:name="_Toc387526215"/>
      <w:bookmarkStart w:id="332" w:name="_Toc508918277"/>
      <w:bookmarkStart w:id="333" w:name="_Toc152045567"/>
      <w:bookmarkStart w:id="334" w:name="_Toc366679698"/>
      <w:bookmarkStart w:id="335" w:name="_Toc246996211"/>
      <w:bookmarkStart w:id="336" w:name="_Toc179632585"/>
      <w:bookmarkStart w:id="337" w:name="_Toc5192"/>
      <w:bookmarkStart w:id="338" w:name="_Toc247085725"/>
      <w:bookmarkStart w:id="339" w:name="_Toc387526319"/>
      <w:bookmarkStart w:id="340" w:name="_Toc152042343"/>
      <w:bookmarkStart w:id="341" w:name="_Toc246996954"/>
      <w:bookmarkStart w:id="342" w:name="_Toc144974535"/>
      <w:r>
        <w:rPr>
          <w:rFonts w:ascii="宋体" w:hAnsi="宋体" w:cs="宋体"/>
          <w:sz w:val="24"/>
        </w:rPr>
        <w:t xml:space="preserve">8.1 </w:t>
      </w:r>
      <w:r>
        <w:rPr>
          <w:rFonts w:hint="eastAsia" w:ascii="宋体" w:hAnsi="宋体" w:cs="宋体"/>
          <w:sz w:val="24"/>
        </w:rPr>
        <w:t>定标方式</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spacing w:line="360" w:lineRule="auto"/>
        <w:rPr>
          <w:rFonts w:ascii="宋体" w:cs="宋体"/>
          <w:sz w:val="24"/>
        </w:rPr>
      </w:pPr>
      <w:bookmarkStart w:id="343" w:name="_Toc387526216"/>
      <w:bookmarkStart w:id="344" w:name="_Toc387526412"/>
      <w:bookmarkStart w:id="345" w:name="_Toc387526320"/>
      <w:bookmarkStart w:id="346" w:name="_Toc29357"/>
      <w:r>
        <w:rPr>
          <w:rFonts w:hint="eastAsia" w:ascii="宋体" w:hAnsi="宋体" w:cs="宋体"/>
          <w:sz w:val="24"/>
        </w:rPr>
        <w:t>除投标人须知前附表规定评标委员会直接确定中标人外，招标人依据评标委员会推荐的中标候选人确定中标人，评标委员会推荐中标候选人的人数</w:t>
      </w:r>
      <w:r>
        <w:rPr>
          <w:rFonts w:hint="eastAsia" w:ascii="宋体" w:hAnsi="宋体" w:cs="宋体"/>
          <w:kern w:val="0"/>
          <w:sz w:val="24"/>
        </w:rPr>
        <w:t>不超过</w:t>
      </w:r>
      <w:r>
        <w:rPr>
          <w:rFonts w:ascii="宋体" w:hAnsi="宋体" w:cs="宋体"/>
          <w:kern w:val="0"/>
          <w:sz w:val="24"/>
        </w:rPr>
        <w:t>3</w:t>
      </w:r>
      <w:r>
        <w:rPr>
          <w:rFonts w:hint="eastAsia" w:ascii="宋体" w:hAnsi="宋体" w:cs="宋体"/>
          <w:kern w:val="0"/>
          <w:sz w:val="24"/>
        </w:rPr>
        <w:t>个</w:t>
      </w:r>
      <w:r>
        <w:rPr>
          <w:rFonts w:hint="eastAsia" w:ascii="宋体" w:hAnsi="宋体" w:cs="宋体"/>
          <w:sz w:val="24"/>
        </w:rPr>
        <w:t>。</w:t>
      </w:r>
    </w:p>
    <w:p>
      <w:pPr>
        <w:spacing w:line="360" w:lineRule="auto"/>
        <w:outlineLvl w:val="0"/>
        <w:rPr>
          <w:rFonts w:ascii="宋体" w:cs="宋体"/>
          <w:sz w:val="24"/>
        </w:rPr>
      </w:pPr>
      <w:bookmarkStart w:id="347" w:name="_Toc500510963"/>
      <w:bookmarkStart w:id="348" w:name="_Toc508918278"/>
      <w:r>
        <w:rPr>
          <w:rFonts w:ascii="宋体" w:hAnsi="宋体" w:cs="宋体"/>
          <w:sz w:val="24"/>
        </w:rPr>
        <w:t>8.2</w:t>
      </w:r>
      <w:bookmarkEnd w:id="343"/>
      <w:bookmarkEnd w:id="344"/>
      <w:bookmarkEnd w:id="345"/>
      <w:bookmarkEnd w:id="346"/>
      <w:bookmarkStart w:id="349" w:name="_Toc179632586"/>
      <w:bookmarkStart w:id="350" w:name="_Toc247085726"/>
      <w:bookmarkStart w:id="351" w:name="_Toc387526321"/>
      <w:bookmarkStart w:id="352" w:name="_Toc387526413"/>
      <w:bookmarkStart w:id="353" w:name="_Toc13765"/>
      <w:bookmarkStart w:id="354" w:name="_Toc387526217"/>
      <w:bookmarkStart w:id="355" w:name="_Toc246996212"/>
      <w:bookmarkStart w:id="356" w:name="_Toc366679700"/>
      <w:bookmarkStart w:id="357" w:name="_Toc246996955"/>
      <w:r>
        <w:rPr>
          <w:rFonts w:hint="eastAsia" w:ascii="宋体" w:hAnsi="宋体" w:cs="宋体"/>
          <w:sz w:val="24"/>
        </w:rPr>
        <w:t>中标人公告及中标通知</w:t>
      </w:r>
      <w:bookmarkEnd w:id="347"/>
      <w:bookmarkEnd w:id="348"/>
      <w:bookmarkEnd w:id="349"/>
      <w:bookmarkEnd w:id="350"/>
      <w:bookmarkEnd w:id="351"/>
      <w:bookmarkEnd w:id="352"/>
      <w:bookmarkEnd w:id="353"/>
      <w:bookmarkEnd w:id="354"/>
      <w:bookmarkEnd w:id="355"/>
      <w:bookmarkEnd w:id="356"/>
      <w:bookmarkEnd w:id="357"/>
    </w:p>
    <w:p>
      <w:pPr>
        <w:spacing w:line="360" w:lineRule="auto"/>
        <w:rPr>
          <w:rFonts w:ascii="宋体" w:cs="宋体"/>
          <w:sz w:val="24"/>
        </w:rPr>
      </w:pPr>
      <w:bookmarkStart w:id="358" w:name="_Toc247085727"/>
      <w:bookmarkStart w:id="359" w:name="_Toc366679701"/>
      <w:bookmarkStart w:id="360" w:name="_Toc246996213"/>
      <w:bookmarkStart w:id="361" w:name="_Toc246996956"/>
      <w:bookmarkStart w:id="362" w:name="_Toc179632587"/>
      <w:r>
        <w:rPr>
          <w:rFonts w:hint="eastAsia" w:ascii="宋体" w:hAnsi="宋体" w:cs="宋体"/>
          <w:sz w:val="24"/>
        </w:rPr>
        <w:t>招标人在本招标文件规定的投标有效期内将中标人名称、中标价和项目负责人在与招标公告相同的发布媒介上予以公告，并以书面形式向中标人发出中标通知书。</w:t>
      </w:r>
    </w:p>
    <w:p>
      <w:pPr>
        <w:spacing w:line="360" w:lineRule="auto"/>
        <w:outlineLvl w:val="0"/>
        <w:rPr>
          <w:rFonts w:ascii="宋体" w:hAnsi="宋体" w:cs="宋体"/>
          <w:sz w:val="24"/>
        </w:rPr>
      </w:pPr>
      <w:bookmarkStart w:id="363" w:name="_Toc387526218"/>
      <w:bookmarkStart w:id="364" w:name="_Toc387526414"/>
      <w:bookmarkStart w:id="365" w:name="_Toc500510964"/>
      <w:bookmarkStart w:id="366" w:name="_Toc26386"/>
      <w:bookmarkStart w:id="367" w:name="_Toc387526322"/>
      <w:bookmarkStart w:id="368" w:name="_Toc508918279"/>
      <w:r>
        <w:rPr>
          <w:rFonts w:ascii="宋体" w:hAnsi="宋体" w:cs="宋体"/>
          <w:sz w:val="24"/>
        </w:rPr>
        <w:t xml:space="preserve">8.3 </w:t>
      </w:r>
      <w:r>
        <w:rPr>
          <w:rFonts w:hint="eastAsia" w:ascii="宋体" w:hAnsi="宋体" w:cs="宋体"/>
          <w:sz w:val="24"/>
        </w:rPr>
        <w:t>履约保证金</w:t>
      </w:r>
      <w:bookmarkEnd w:id="358"/>
      <w:bookmarkEnd w:id="359"/>
      <w:bookmarkEnd w:id="360"/>
      <w:bookmarkEnd w:id="361"/>
      <w:bookmarkEnd w:id="362"/>
      <w:bookmarkEnd w:id="363"/>
      <w:bookmarkEnd w:id="364"/>
      <w:bookmarkEnd w:id="365"/>
      <w:bookmarkEnd w:id="366"/>
      <w:bookmarkEnd w:id="367"/>
      <w:bookmarkEnd w:id="368"/>
    </w:p>
    <w:p>
      <w:pPr>
        <w:spacing w:line="360" w:lineRule="auto"/>
        <w:rPr>
          <w:rFonts w:ascii="宋体" w:cs="宋体"/>
          <w:sz w:val="24"/>
        </w:rPr>
      </w:pPr>
      <w:r>
        <w:rPr>
          <w:rFonts w:ascii="宋体" w:hAnsi="宋体" w:cs="宋体"/>
          <w:sz w:val="24"/>
        </w:rPr>
        <w:t>8.3.1</w:t>
      </w:r>
      <w:r>
        <w:rPr>
          <w:rFonts w:hint="eastAsia" w:ascii="宋体" w:hAnsi="宋体" w:cs="宋体"/>
          <w:sz w:val="24"/>
        </w:rPr>
        <w:t>在签订合同前，中标人应按投标人须知前附表规定的形式和招标文件“合同条款及格式”规定的或者事先经过招标人书面认可的履约保证金格式向招标人提交履约保证金。联合体中标的，其履约保证金由牵头人递交。</w:t>
      </w:r>
    </w:p>
    <w:p>
      <w:pPr>
        <w:spacing w:line="360" w:lineRule="auto"/>
        <w:rPr>
          <w:rFonts w:ascii="宋体" w:cs="宋体"/>
          <w:sz w:val="24"/>
        </w:rPr>
      </w:pPr>
      <w:r>
        <w:rPr>
          <w:rFonts w:ascii="宋体" w:hAnsi="宋体" w:cs="宋体"/>
          <w:sz w:val="24"/>
        </w:rPr>
        <w:t xml:space="preserve">8.3.2 </w:t>
      </w:r>
      <w:r>
        <w:rPr>
          <w:rFonts w:hint="eastAsia" w:ascii="宋体" w:hAnsi="宋体" w:cs="宋体"/>
          <w:sz w:val="24"/>
        </w:rPr>
        <w:t>中标人不能按本章第</w:t>
      </w:r>
      <w:r>
        <w:rPr>
          <w:rFonts w:ascii="宋体" w:hAnsi="宋体" w:cs="宋体"/>
          <w:sz w:val="24"/>
        </w:rPr>
        <w:t>8.3.1</w:t>
      </w:r>
      <w:r>
        <w:rPr>
          <w:rFonts w:hint="eastAsia" w:ascii="宋体" w:hAnsi="宋体" w:cs="宋体"/>
          <w:sz w:val="24"/>
        </w:rPr>
        <w:t>项要求提交履约保证金的，视为放弃中标，给招标人造成损失的，</w:t>
      </w:r>
      <w:r>
        <w:rPr>
          <w:rFonts w:hint="eastAsia" w:ascii="宋体" w:hAnsi="宋体" w:cs="宋体"/>
          <w:sz w:val="24"/>
          <w:lang w:val="en-US" w:eastAsia="zh-CN"/>
        </w:rPr>
        <w:t>由</w:t>
      </w:r>
      <w:r>
        <w:rPr>
          <w:rFonts w:hint="eastAsia" w:ascii="宋体" w:hAnsi="宋体" w:cs="宋体"/>
          <w:sz w:val="24"/>
        </w:rPr>
        <w:t>中标人</w:t>
      </w:r>
      <w:r>
        <w:rPr>
          <w:rFonts w:hint="eastAsia" w:ascii="宋体" w:hAnsi="宋体" w:cs="宋体"/>
          <w:sz w:val="24"/>
          <w:lang w:val="en-US" w:eastAsia="zh-CN"/>
        </w:rPr>
        <w:t>承担</w:t>
      </w:r>
      <w:r>
        <w:rPr>
          <w:rFonts w:hint="eastAsia" w:ascii="宋体" w:hAnsi="宋体" w:cs="宋体"/>
          <w:sz w:val="24"/>
        </w:rPr>
        <w:t>。</w:t>
      </w:r>
    </w:p>
    <w:p>
      <w:pPr>
        <w:pStyle w:val="6"/>
        <w:keepNext w:val="0"/>
        <w:keepLines w:val="0"/>
        <w:spacing w:line="360" w:lineRule="auto"/>
        <w:ind w:firstLine="0" w:firstLineChars="0"/>
        <w:rPr>
          <w:rFonts w:ascii="宋体" w:hAnsi="宋体" w:eastAsia="宋体" w:cs="宋体"/>
          <w:szCs w:val="24"/>
        </w:rPr>
      </w:pPr>
      <w:bookmarkStart w:id="369" w:name="_Toc10565"/>
      <w:bookmarkStart w:id="370" w:name="_Toc247085728"/>
      <w:bookmarkStart w:id="371" w:name="_Toc500510965"/>
      <w:bookmarkStart w:id="372" w:name="_Toc387526415"/>
      <w:bookmarkStart w:id="373" w:name="_Toc179632588"/>
      <w:bookmarkStart w:id="374" w:name="_Toc387526323"/>
      <w:bookmarkStart w:id="375" w:name="_Toc366679702"/>
      <w:bookmarkStart w:id="376" w:name="_Toc508918280"/>
      <w:bookmarkStart w:id="377" w:name="_Toc246996214"/>
      <w:bookmarkStart w:id="378" w:name="_Toc246996957"/>
      <w:bookmarkStart w:id="379" w:name="_Toc387526219"/>
      <w:r>
        <w:rPr>
          <w:rFonts w:ascii="宋体" w:hAnsi="宋体" w:eastAsia="宋体" w:cs="宋体"/>
          <w:szCs w:val="24"/>
        </w:rPr>
        <w:t xml:space="preserve">8.4 </w:t>
      </w:r>
      <w:r>
        <w:rPr>
          <w:rFonts w:hint="eastAsia" w:ascii="宋体" w:hAnsi="宋体" w:eastAsia="宋体" w:cs="宋体"/>
          <w:szCs w:val="24"/>
        </w:rPr>
        <w:t>签订合同</w:t>
      </w:r>
      <w:bookmarkEnd w:id="369"/>
      <w:bookmarkEnd w:id="370"/>
      <w:bookmarkEnd w:id="371"/>
      <w:bookmarkEnd w:id="372"/>
      <w:bookmarkEnd w:id="373"/>
      <w:bookmarkEnd w:id="374"/>
      <w:bookmarkEnd w:id="375"/>
      <w:bookmarkEnd w:id="376"/>
      <w:bookmarkEnd w:id="377"/>
      <w:bookmarkEnd w:id="378"/>
      <w:bookmarkEnd w:id="379"/>
    </w:p>
    <w:p>
      <w:pPr>
        <w:spacing w:line="360" w:lineRule="auto"/>
        <w:rPr>
          <w:rFonts w:ascii="宋体" w:cs="宋体"/>
          <w:sz w:val="24"/>
        </w:rPr>
      </w:pPr>
      <w:r>
        <w:rPr>
          <w:rFonts w:ascii="宋体" w:hAnsi="宋体" w:cs="宋体"/>
          <w:sz w:val="24"/>
        </w:rPr>
        <w:t>8.4.1</w:t>
      </w:r>
      <w:r>
        <w:rPr>
          <w:rFonts w:hint="eastAsia" w:ascii="宋体" w:hAnsi="宋体" w:cs="宋体"/>
          <w:b/>
          <w:bCs/>
          <w:sz w:val="24"/>
        </w:rPr>
        <w:t>招标人和中标人应当自中标通知书发出之日起</w:t>
      </w:r>
      <w:r>
        <w:rPr>
          <w:rFonts w:ascii="宋体" w:hAnsi="宋体" w:cs="宋体"/>
          <w:b/>
          <w:bCs/>
          <w:sz w:val="24"/>
        </w:rPr>
        <w:t>30</w:t>
      </w:r>
      <w:r>
        <w:rPr>
          <w:rFonts w:hint="eastAsia" w:ascii="宋体" w:hAnsi="宋体" w:cs="宋体"/>
          <w:b/>
          <w:bCs/>
          <w:sz w:val="24"/>
        </w:rPr>
        <w:t>天内，根据招标文件和中标人的投标文件</w:t>
      </w:r>
      <w:r>
        <w:rPr>
          <w:rFonts w:hint="eastAsia" w:ascii="宋体" w:hAnsi="宋体" w:cs="宋体"/>
          <w:b/>
          <w:bCs/>
          <w:sz w:val="24"/>
          <w:lang w:eastAsia="zh-CN"/>
        </w:rPr>
        <w:t>由招标人委托项目代建单位南通会通建设发展有限公司</w:t>
      </w:r>
      <w:r>
        <w:rPr>
          <w:rFonts w:hint="eastAsia" w:ascii="宋体" w:hAnsi="宋体" w:cs="宋体"/>
          <w:b/>
          <w:bCs/>
          <w:sz w:val="24"/>
        </w:rPr>
        <w:t>订立书面合同。</w:t>
      </w:r>
      <w:r>
        <w:rPr>
          <w:rFonts w:hint="eastAsia" w:ascii="宋体" w:hAnsi="宋体" w:cs="宋体"/>
          <w:sz w:val="24"/>
        </w:rPr>
        <w:t>中标人无正当理由拒签合同的，招标人取消其中标资格；给招标人造成损失</w:t>
      </w:r>
      <w:r>
        <w:rPr>
          <w:rFonts w:hint="eastAsia" w:ascii="宋体" w:hAnsi="宋体" w:cs="宋体"/>
          <w:sz w:val="24"/>
          <w:lang w:val="en-US" w:eastAsia="zh-CN"/>
        </w:rPr>
        <w:t>的，由</w:t>
      </w:r>
      <w:r>
        <w:rPr>
          <w:rFonts w:hint="eastAsia" w:ascii="宋体" w:hAnsi="宋体" w:cs="宋体"/>
          <w:sz w:val="24"/>
        </w:rPr>
        <w:t>中标人</w:t>
      </w:r>
      <w:r>
        <w:rPr>
          <w:rFonts w:hint="eastAsia" w:ascii="宋体" w:hAnsi="宋体" w:cs="宋体"/>
          <w:sz w:val="24"/>
          <w:lang w:val="en-US" w:eastAsia="zh-CN"/>
        </w:rPr>
        <w:t>承担</w:t>
      </w:r>
      <w:r>
        <w:rPr>
          <w:rFonts w:hint="eastAsia" w:ascii="宋体" w:hAnsi="宋体" w:cs="宋体"/>
          <w:sz w:val="24"/>
        </w:rPr>
        <w:t>。</w:t>
      </w:r>
    </w:p>
    <w:p>
      <w:pPr>
        <w:spacing w:line="360" w:lineRule="auto"/>
        <w:rPr>
          <w:rFonts w:ascii="宋体" w:cs="宋体"/>
          <w:sz w:val="24"/>
        </w:rPr>
      </w:pPr>
      <w:r>
        <w:rPr>
          <w:rFonts w:ascii="宋体" w:hAnsi="宋体" w:cs="宋体"/>
          <w:sz w:val="24"/>
        </w:rPr>
        <w:t xml:space="preserve">8.4.2 </w:t>
      </w:r>
      <w:r>
        <w:rPr>
          <w:rFonts w:hint="eastAsia" w:ascii="宋体" w:hAnsi="宋体" w:cs="宋体"/>
          <w:sz w:val="24"/>
        </w:rPr>
        <w:t>发出中标通知书后，招标人无正当理由拒签合同的</w:t>
      </w:r>
      <w:r>
        <w:rPr>
          <w:rFonts w:hint="eastAsia" w:ascii="宋体" w:hAnsi="宋体" w:cs="宋体"/>
          <w:sz w:val="24"/>
          <w:lang w:eastAsia="zh-CN"/>
        </w:rPr>
        <w:t>，</w:t>
      </w:r>
      <w:r>
        <w:rPr>
          <w:rFonts w:hint="eastAsia" w:ascii="宋体" w:hAnsi="宋体" w:cs="宋体"/>
          <w:sz w:val="24"/>
        </w:rPr>
        <w:t>给中标人造成损失的，还应当赔偿损失。</w:t>
      </w:r>
    </w:p>
    <w:bookmarkEnd w:id="219"/>
    <w:bookmarkEnd w:id="220"/>
    <w:bookmarkEnd w:id="221"/>
    <w:bookmarkEnd w:id="222"/>
    <w:p>
      <w:pPr>
        <w:pStyle w:val="5"/>
        <w:keepNext w:val="0"/>
        <w:keepLines w:val="0"/>
        <w:spacing w:line="360" w:lineRule="auto"/>
        <w:rPr>
          <w:rFonts w:ascii="宋体" w:hAnsi="宋体" w:eastAsia="宋体" w:cs="宋体"/>
        </w:rPr>
      </w:pPr>
      <w:bookmarkStart w:id="380" w:name="_Toc367894807"/>
      <w:bookmarkStart w:id="381" w:name="_Toc363329380"/>
      <w:bookmarkStart w:id="382" w:name="_Toc322503149"/>
      <w:bookmarkStart w:id="383" w:name="_Toc369077569"/>
      <w:bookmarkStart w:id="384" w:name="_Toc30717"/>
      <w:bookmarkStart w:id="385" w:name="_Toc387526324"/>
      <w:bookmarkStart w:id="386" w:name="_Toc387526220"/>
      <w:bookmarkStart w:id="387" w:name="_Toc508918281"/>
      <w:bookmarkStart w:id="388" w:name="_Toc368760435"/>
      <w:bookmarkStart w:id="389" w:name="_Toc500510966"/>
      <w:bookmarkStart w:id="390" w:name="_Toc387526416"/>
      <w:bookmarkStart w:id="391" w:name="_Toc368759383"/>
      <w:r>
        <w:rPr>
          <w:rFonts w:ascii="宋体" w:hAnsi="宋体" w:eastAsia="宋体" w:cs="宋体"/>
        </w:rPr>
        <w:t>9.</w:t>
      </w:r>
      <w:r>
        <w:rPr>
          <w:rFonts w:hint="eastAsia" w:ascii="宋体" w:hAnsi="宋体" w:eastAsia="宋体" w:cs="宋体"/>
        </w:rPr>
        <w:t>纪律和监督</w:t>
      </w:r>
      <w:bookmarkEnd w:id="380"/>
      <w:bookmarkEnd w:id="381"/>
      <w:bookmarkEnd w:id="382"/>
      <w:bookmarkEnd w:id="383"/>
      <w:bookmarkEnd w:id="384"/>
      <w:bookmarkEnd w:id="385"/>
      <w:bookmarkEnd w:id="386"/>
      <w:bookmarkEnd w:id="387"/>
      <w:bookmarkEnd w:id="388"/>
      <w:bookmarkEnd w:id="389"/>
      <w:bookmarkEnd w:id="390"/>
      <w:bookmarkEnd w:id="391"/>
    </w:p>
    <w:p>
      <w:pPr>
        <w:pStyle w:val="6"/>
        <w:keepNext w:val="0"/>
        <w:keepLines w:val="0"/>
        <w:spacing w:line="360" w:lineRule="auto"/>
        <w:ind w:firstLine="0" w:firstLineChars="0"/>
        <w:rPr>
          <w:rFonts w:ascii="宋体" w:hAnsi="宋体" w:eastAsia="宋体" w:cs="宋体"/>
          <w:szCs w:val="24"/>
        </w:rPr>
      </w:pPr>
      <w:bookmarkStart w:id="392" w:name="_Toc387526417"/>
      <w:bookmarkStart w:id="393" w:name="_Toc500510967"/>
      <w:bookmarkStart w:id="394" w:name="_Toc152045575"/>
      <w:bookmarkStart w:id="395" w:name="_Toc269310963"/>
      <w:bookmarkStart w:id="396" w:name="_Toc29855"/>
      <w:bookmarkStart w:id="397" w:name="_Toc322503150"/>
      <w:bookmarkStart w:id="398" w:name="_Toc152042351"/>
      <w:bookmarkStart w:id="399" w:name="_Toc387526221"/>
      <w:bookmarkStart w:id="400" w:name="_Toc508918282"/>
      <w:bookmarkStart w:id="401" w:name="_Toc144974543"/>
      <w:bookmarkStart w:id="402" w:name="_Toc387526325"/>
      <w:r>
        <w:rPr>
          <w:rFonts w:ascii="宋体" w:hAnsi="宋体" w:eastAsia="宋体" w:cs="宋体"/>
          <w:szCs w:val="24"/>
        </w:rPr>
        <w:t xml:space="preserve">9.1 </w:t>
      </w:r>
      <w:r>
        <w:rPr>
          <w:rFonts w:hint="eastAsia" w:ascii="宋体" w:hAnsi="宋体" w:eastAsia="宋体" w:cs="宋体"/>
          <w:szCs w:val="24"/>
        </w:rPr>
        <w:t>对招标人的纪律要求</w:t>
      </w:r>
      <w:bookmarkEnd w:id="392"/>
      <w:bookmarkEnd w:id="393"/>
      <w:bookmarkEnd w:id="394"/>
      <w:bookmarkEnd w:id="395"/>
      <w:bookmarkEnd w:id="396"/>
      <w:bookmarkEnd w:id="397"/>
      <w:bookmarkEnd w:id="398"/>
      <w:bookmarkEnd w:id="399"/>
      <w:bookmarkEnd w:id="400"/>
      <w:bookmarkEnd w:id="401"/>
      <w:bookmarkEnd w:id="402"/>
    </w:p>
    <w:p>
      <w:pPr>
        <w:spacing w:line="360" w:lineRule="auto"/>
        <w:rPr>
          <w:rFonts w:ascii="宋体" w:cs="宋体"/>
          <w:sz w:val="24"/>
        </w:rPr>
      </w:pPr>
      <w:r>
        <w:rPr>
          <w:rFonts w:hint="eastAsia" w:ascii="宋体" w:hAnsi="宋体" w:cs="宋体"/>
          <w:sz w:val="24"/>
        </w:rPr>
        <w:t>招标人不得泄露招标投标活动中应当保密的情况和资料，不得与投标人串通损害国家利益、社会公众利益或者他人合法权益。</w:t>
      </w:r>
    </w:p>
    <w:p>
      <w:pPr>
        <w:pStyle w:val="6"/>
        <w:keepNext w:val="0"/>
        <w:keepLines w:val="0"/>
        <w:spacing w:before="60" w:after="60" w:line="360" w:lineRule="auto"/>
        <w:ind w:firstLine="0" w:firstLineChars="0"/>
        <w:rPr>
          <w:rFonts w:ascii="宋体" w:hAnsi="宋体" w:eastAsia="宋体" w:cs="宋体"/>
          <w:szCs w:val="24"/>
        </w:rPr>
      </w:pPr>
      <w:bookmarkStart w:id="403" w:name="_Toc152042352"/>
      <w:bookmarkStart w:id="404" w:name="_Toc508918283"/>
      <w:bookmarkStart w:id="405" w:name="_Toc144974544"/>
      <w:bookmarkStart w:id="406" w:name="_Toc387526326"/>
      <w:bookmarkStart w:id="407" w:name="_Toc269310964"/>
      <w:bookmarkStart w:id="408" w:name="_Toc387526418"/>
      <w:bookmarkStart w:id="409" w:name="_Toc322503151"/>
      <w:bookmarkStart w:id="410" w:name="_Toc500510968"/>
      <w:bookmarkStart w:id="411" w:name="_Toc387526222"/>
      <w:bookmarkStart w:id="412" w:name="_Toc152045576"/>
      <w:bookmarkStart w:id="413" w:name="_Toc1420"/>
      <w:r>
        <w:rPr>
          <w:rFonts w:ascii="宋体" w:hAnsi="宋体" w:eastAsia="宋体" w:cs="宋体"/>
          <w:szCs w:val="24"/>
        </w:rPr>
        <w:t xml:space="preserve">9.2 </w:t>
      </w:r>
      <w:r>
        <w:rPr>
          <w:rFonts w:hint="eastAsia" w:ascii="宋体" w:hAnsi="宋体" w:eastAsia="宋体" w:cs="宋体"/>
          <w:szCs w:val="24"/>
        </w:rPr>
        <w:t>对投标人的纪律要求</w:t>
      </w:r>
      <w:bookmarkEnd w:id="403"/>
      <w:bookmarkEnd w:id="404"/>
      <w:bookmarkEnd w:id="405"/>
      <w:bookmarkEnd w:id="406"/>
      <w:bookmarkEnd w:id="407"/>
      <w:bookmarkEnd w:id="408"/>
      <w:bookmarkEnd w:id="409"/>
      <w:bookmarkEnd w:id="410"/>
      <w:bookmarkEnd w:id="411"/>
      <w:bookmarkEnd w:id="412"/>
      <w:bookmarkEnd w:id="413"/>
    </w:p>
    <w:p>
      <w:pPr>
        <w:spacing w:line="360" w:lineRule="auto"/>
        <w:rPr>
          <w:rFonts w:ascii="宋体" w:cs="宋体"/>
          <w:sz w:val="24"/>
        </w:rPr>
      </w:pPr>
      <w:bookmarkStart w:id="414" w:name="_Toc144974545"/>
      <w:bookmarkStart w:id="415" w:name="_Toc152045577"/>
      <w:bookmarkStart w:id="416" w:name="_Toc322503152"/>
      <w:bookmarkStart w:id="417" w:name="_Toc269310965"/>
      <w:bookmarkStart w:id="418" w:name="_Toc152042353"/>
      <w:r>
        <w:rPr>
          <w:rFonts w:hint="eastAsia" w:ascii="宋体"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6"/>
        <w:keepNext w:val="0"/>
        <w:keepLines w:val="0"/>
        <w:spacing w:before="60" w:after="60" w:line="360" w:lineRule="auto"/>
        <w:ind w:firstLine="0" w:firstLineChars="0"/>
        <w:rPr>
          <w:rFonts w:ascii="宋体" w:hAnsi="宋体" w:eastAsia="宋体" w:cs="宋体"/>
          <w:szCs w:val="24"/>
        </w:rPr>
      </w:pPr>
      <w:bookmarkStart w:id="419" w:name="_Toc387526223"/>
      <w:bookmarkStart w:id="420" w:name="_Toc508918284"/>
      <w:bookmarkStart w:id="421" w:name="_Toc387526419"/>
      <w:bookmarkStart w:id="422" w:name="_Toc16374"/>
      <w:bookmarkStart w:id="423" w:name="_Toc500510969"/>
      <w:bookmarkStart w:id="424" w:name="_Toc387526327"/>
      <w:r>
        <w:rPr>
          <w:rFonts w:ascii="宋体" w:hAnsi="宋体" w:eastAsia="宋体" w:cs="宋体"/>
          <w:szCs w:val="24"/>
        </w:rPr>
        <w:t xml:space="preserve">9.3 </w:t>
      </w:r>
      <w:r>
        <w:rPr>
          <w:rFonts w:hint="eastAsia" w:ascii="宋体" w:hAnsi="宋体" w:eastAsia="宋体" w:cs="宋体"/>
          <w:szCs w:val="24"/>
        </w:rPr>
        <w:t>对评标委员会成员的纪律要求</w:t>
      </w:r>
      <w:bookmarkEnd w:id="414"/>
      <w:bookmarkEnd w:id="415"/>
      <w:bookmarkEnd w:id="416"/>
      <w:bookmarkEnd w:id="417"/>
      <w:bookmarkEnd w:id="418"/>
      <w:bookmarkEnd w:id="419"/>
      <w:bookmarkEnd w:id="420"/>
      <w:bookmarkEnd w:id="421"/>
      <w:bookmarkEnd w:id="422"/>
      <w:bookmarkEnd w:id="423"/>
      <w:bookmarkEnd w:id="424"/>
    </w:p>
    <w:p>
      <w:pPr>
        <w:spacing w:line="360" w:lineRule="auto"/>
        <w:rPr>
          <w:rFonts w:ascii="宋体" w:cs="宋体"/>
          <w:sz w:val="24"/>
        </w:rPr>
      </w:pPr>
      <w:bookmarkStart w:id="425" w:name="_Toc247085736"/>
      <w:bookmarkStart w:id="426" w:name="_Toc179632596"/>
      <w:bookmarkStart w:id="427" w:name="_Toc366679707"/>
      <w:bookmarkStart w:id="428" w:name="_Toc246996965"/>
      <w:bookmarkStart w:id="429" w:name="_Toc246996222"/>
      <w:bookmarkStart w:id="430" w:name="_Toc152045578"/>
      <w:bookmarkStart w:id="431" w:name="_Toc152042354"/>
      <w:bookmarkStart w:id="432" w:name="_Toc144974546"/>
      <w:r>
        <w:rPr>
          <w:rFonts w:hint="eastAsia" w:ascii="宋体" w:hAnsi="宋体" w:cs="宋体"/>
          <w:sz w:val="24"/>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评标办法”没有规定的评审因素和标准进行评标。</w:t>
      </w:r>
    </w:p>
    <w:p>
      <w:pPr>
        <w:pStyle w:val="6"/>
        <w:keepNext w:val="0"/>
        <w:keepLines w:val="0"/>
        <w:spacing w:before="60" w:after="60" w:line="360" w:lineRule="auto"/>
        <w:ind w:firstLine="0" w:firstLineChars="0"/>
        <w:rPr>
          <w:rFonts w:ascii="宋体" w:hAnsi="宋体" w:eastAsia="宋体" w:cs="宋体"/>
          <w:szCs w:val="24"/>
        </w:rPr>
      </w:pPr>
      <w:bookmarkStart w:id="433" w:name="_Toc508918285"/>
      <w:bookmarkStart w:id="434" w:name="_Toc387526224"/>
      <w:bookmarkStart w:id="435" w:name="_Toc500510970"/>
      <w:bookmarkStart w:id="436" w:name="_Toc387526328"/>
      <w:bookmarkStart w:id="437" w:name="_Toc1042"/>
      <w:bookmarkStart w:id="438" w:name="_Toc387526420"/>
      <w:r>
        <w:rPr>
          <w:rFonts w:ascii="宋体" w:hAnsi="宋体" w:eastAsia="宋体" w:cs="宋体"/>
          <w:szCs w:val="24"/>
        </w:rPr>
        <w:t xml:space="preserve">9.4 </w:t>
      </w:r>
      <w:r>
        <w:rPr>
          <w:rFonts w:hint="eastAsia" w:ascii="宋体" w:hAnsi="宋体" w:eastAsia="宋体" w:cs="宋体"/>
          <w:szCs w:val="24"/>
        </w:rPr>
        <w:t>对与评标活动有关的工作人员的纪律要求</w:t>
      </w:r>
      <w:bookmarkEnd w:id="425"/>
      <w:bookmarkEnd w:id="426"/>
      <w:bookmarkEnd w:id="427"/>
      <w:bookmarkEnd w:id="428"/>
      <w:bookmarkEnd w:id="429"/>
      <w:bookmarkEnd w:id="430"/>
      <w:bookmarkEnd w:id="431"/>
      <w:bookmarkEnd w:id="433"/>
      <w:bookmarkEnd w:id="434"/>
      <w:bookmarkEnd w:id="435"/>
      <w:bookmarkEnd w:id="436"/>
      <w:bookmarkEnd w:id="437"/>
      <w:bookmarkEnd w:id="438"/>
    </w:p>
    <w:p>
      <w:pPr>
        <w:spacing w:line="360" w:lineRule="auto"/>
        <w:rPr>
          <w:rFonts w:ascii="宋体" w:cs="宋体"/>
          <w:sz w:val="24"/>
        </w:rPr>
      </w:pPr>
      <w:bookmarkStart w:id="439" w:name="_Toc152042355"/>
      <w:bookmarkStart w:id="440" w:name="_Toc152045579"/>
      <w:bookmarkStart w:id="441" w:name="_Toc179632597"/>
      <w:bookmarkStart w:id="442" w:name="_Toc366679708"/>
      <w:bookmarkStart w:id="443" w:name="_Toc246996966"/>
      <w:bookmarkStart w:id="444" w:name="_Toc247085737"/>
      <w:bookmarkStart w:id="445" w:name="_Toc152042356"/>
      <w:bookmarkStart w:id="446" w:name="_Toc246996223"/>
      <w:r>
        <w:rPr>
          <w:rFonts w:hint="eastAsia" w:ascii="宋体"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439"/>
    </w:p>
    <w:p>
      <w:pPr>
        <w:pStyle w:val="6"/>
        <w:keepNext w:val="0"/>
        <w:keepLines w:val="0"/>
        <w:spacing w:before="60" w:after="60" w:line="360" w:lineRule="auto"/>
        <w:ind w:firstLine="0" w:firstLineChars="0"/>
        <w:rPr>
          <w:rFonts w:ascii="宋体" w:hAnsi="宋体" w:eastAsia="宋体" w:cs="宋体"/>
          <w:szCs w:val="24"/>
        </w:rPr>
      </w:pPr>
      <w:bookmarkStart w:id="447" w:name="_Toc387526421"/>
      <w:bookmarkStart w:id="448" w:name="_Toc500510971"/>
      <w:bookmarkStart w:id="449" w:name="_Toc387526225"/>
      <w:bookmarkStart w:id="450" w:name="_Toc508918286"/>
      <w:bookmarkStart w:id="451" w:name="_Toc27873"/>
      <w:bookmarkStart w:id="452" w:name="_Toc387526329"/>
      <w:r>
        <w:rPr>
          <w:rFonts w:ascii="宋体" w:hAnsi="宋体" w:eastAsia="宋体" w:cs="宋体"/>
          <w:szCs w:val="24"/>
        </w:rPr>
        <w:t xml:space="preserve">9.5 </w:t>
      </w:r>
      <w:r>
        <w:rPr>
          <w:rFonts w:hint="eastAsia" w:ascii="宋体" w:hAnsi="宋体" w:eastAsia="宋体" w:cs="宋体"/>
          <w:szCs w:val="24"/>
        </w:rPr>
        <w:t>投诉</w:t>
      </w:r>
      <w:bookmarkEnd w:id="432"/>
      <w:bookmarkEnd w:id="440"/>
      <w:bookmarkEnd w:id="441"/>
      <w:bookmarkEnd w:id="442"/>
      <w:bookmarkEnd w:id="443"/>
      <w:bookmarkEnd w:id="444"/>
      <w:bookmarkEnd w:id="445"/>
      <w:bookmarkEnd w:id="446"/>
      <w:bookmarkEnd w:id="447"/>
      <w:bookmarkEnd w:id="448"/>
      <w:bookmarkEnd w:id="449"/>
      <w:bookmarkEnd w:id="450"/>
      <w:bookmarkEnd w:id="451"/>
      <w:bookmarkEnd w:id="452"/>
      <w:bookmarkStart w:id="453" w:name="_Toc387526422"/>
      <w:bookmarkStart w:id="454" w:name="_Toc9600"/>
      <w:bookmarkStart w:id="455" w:name="_Toc387526226"/>
      <w:bookmarkStart w:id="456" w:name="_Toc387526330"/>
    </w:p>
    <w:p>
      <w:pPr>
        <w:spacing w:line="360" w:lineRule="auto"/>
        <w:rPr>
          <w:rFonts w:ascii="宋体" w:cs="宋体"/>
          <w:sz w:val="24"/>
        </w:rPr>
      </w:pPr>
      <w:r>
        <w:rPr>
          <w:rFonts w:hint="eastAsia" w:ascii="宋体" w:hAnsi="宋体" w:cs="宋体"/>
          <w:sz w:val="24"/>
        </w:rPr>
        <w:t>投标人或者其他利害关系人认为招标投标活动不符合法律、行政法规规定的，可以自知道或者应当知道之日起</w:t>
      </w:r>
      <w:r>
        <w:rPr>
          <w:rFonts w:ascii="宋体" w:hAnsi="宋体" w:cs="宋体"/>
          <w:sz w:val="24"/>
        </w:rPr>
        <w:t>10</w:t>
      </w:r>
      <w:r>
        <w:rPr>
          <w:rFonts w:hint="eastAsia" w:ascii="宋体" w:hAnsi="宋体" w:cs="宋体"/>
          <w:sz w:val="24"/>
        </w:rPr>
        <w:t>日内向有关行政监督部门投诉。投标人或者其他利害关系人就资格审查文件、招标文件、开标、评标结果事项投诉的，应当先向招标人提出异议。</w:t>
      </w:r>
    </w:p>
    <w:p>
      <w:pPr>
        <w:spacing w:line="360" w:lineRule="auto"/>
        <w:rPr>
          <w:rFonts w:ascii="宋体" w:cs="宋体"/>
          <w:sz w:val="24"/>
        </w:rPr>
      </w:pPr>
      <w:r>
        <w:rPr>
          <w:rFonts w:hint="eastAsia" w:ascii="宋体" w:hAnsi="宋体" w:cs="宋体"/>
          <w:sz w:val="24"/>
        </w:rPr>
        <w:t>根据《江苏省房屋建筑和市政基础设施工程招标投标活动异议与投诉处理实施办法》等有关文件规定，招标文件中，存在的遗漏、错误、含义不清甚至多处表述不一致或者前后矛盾情况的，不属于异议，属于疑问，疑问应当在资格预审文件或者招标文件规定的时间内提出。</w:t>
      </w:r>
    </w:p>
    <w:p>
      <w:pPr>
        <w:spacing w:line="360" w:lineRule="auto"/>
        <w:rPr>
          <w:rFonts w:ascii="宋体" w:hAnsi="宋体" w:cs="宋体"/>
          <w:sz w:val="24"/>
        </w:rPr>
      </w:pPr>
      <w:r>
        <w:rPr>
          <w:rFonts w:hint="eastAsia" w:ascii="宋体" w:hAnsi="宋体" w:cs="宋体"/>
          <w:sz w:val="24"/>
        </w:rPr>
        <w:t>异议人对涉及开标事项提出异议的，应当在开标现场以书面形式提出，招标人应当当场作出答复，并制作记录。开标结束后投标人不得对开标事项再提出异议。</w:t>
      </w:r>
      <w:bookmarkStart w:id="457" w:name="_Toc489513854"/>
      <w:bookmarkStart w:id="458" w:name="_Toc500510972"/>
    </w:p>
    <w:p>
      <w:pPr>
        <w:spacing w:line="360" w:lineRule="auto"/>
        <w:rPr>
          <w:rFonts w:ascii="宋体"/>
          <w:sz w:val="24"/>
        </w:rPr>
      </w:pPr>
      <w:r>
        <w:rPr>
          <w:rFonts w:ascii="宋体" w:hAnsi="宋体" w:cs="宋体"/>
          <w:b/>
          <w:sz w:val="32"/>
          <w:szCs w:val="20"/>
        </w:rPr>
        <w:t>10.</w:t>
      </w:r>
      <w:bookmarkEnd w:id="457"/>
      <w:r>
        <w:rPr>
          <w:rFonts w:hint="eastAsia" w:ascii="宋体" w:hAnsi="宋体" w:cs="宋体"/>
          <w:b/>
          <w:sz w:val="32"/>
          <w:szCs w:val="20"/>
        </w:rPr>
        <w:t>招标人需要补充的其他内容</w:t>
      </w:r>
      <w:bookmarkEnd w:id="453"/>
      <w:bookmarkEnd w:id="454"/>
      <w:bookmarkEnd w:id="455"/>
      <w:bookmarkEnd w:id="456"/>
      <w:bookmarkEnd w:id="458"/>
    </w:p>
    <w:p>
      <w:pPr>
        <w:spacing w:line="360" w:lineRule="auto"/>
        <w:rPr>
          <w:rFonts w:ascii="宋体" w:hAnsi="宋体" w:cs="宋体"/>
          <w:sz w:val="24"/>
        </w:rPr>
      </w:pPr>
      <w:r>
        <w:rPr>
          <w:rFonts w:hint="eastAsia" w:ascii="宋体" w:hAnsi="宋体" w:cs="宋体"/>
          <w:sz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p>
      <w:pPr>
        <w:spacing w:line="360" w:lineRule="auto"/>
        <w:rPr>
          <w:rFonts w:ascii="宋体" w:cs="宋体"/>
          <w:sz w:val="24"/>
        </w:rPr>
      </w:pPr>
      <w:r>
        <w:rPr>
          <w:rFonts w:hint="eastAsia" w:ascii="宋体" w:hAnsi="宋体" w:cs="宋体"/>
          <w:sz w:val="24"/>
        </w:rPr>
        <w:t>需要补充的其他内容：见投标人须知前附表。</w:t>
      </w:r>
    </w:p>
    <w:p>
      <w:pPr>
        <w:spacing w:line="360" w:lineRule="auto"/>
        <w:rPr>
          <w:rFonts w:ascii="宋体" w:cs="宋体"/>
          <w:szCs w:val="21"/>
        </w:rPr>
      </w:pPr>
    </w:p>
    <w:p>
      <w:pPr>
        <w:spacing w:line="360" w:lineRule="auto"/>
        <w:rPr>
          <w:rFonts w:ascii="宋体" w:cs="宋体"/>
          <w:szCs w:val="21"/>
        </w:rPr>
      </w:pPr>
    </w:p>
    <w:p>
      <w:pPr>
        <w:spacing w:line="360" w:lineRule="auto"/>
        <w:rPr>
          <w:rFonts w:ascii="宋体" w:cs="宋体"/>
          <w:szCs w:val="21"/>
        </w:rPr>
      </w:pPr>
    </w:p>
    <w:p>
      <w:pPr>
        <w:rPr>
          <w:rFonts w:hint="eastAsia" w:ascii="宋体" w:hAnsi="宋体" w:cs="宋体"/>
        </w:rPr>
      </w:pPr>
      <w:bookmarkStart w:id="459" w:name="_Toc144805967"/>
      <w:bookmarkStart w:id="460" w:name="_Toc246996252"/>
      <w:bookmarkStart w:id="461" w:name="_Toc17692"/>
      <w:bookmarkStart w:id="462" w:name="_Toc152042387"/>
      <w:bookmarkStart w:id="463" w:name="_Toc387526344"/>
      <w:bookmarkStart w:id="464" w:name="_Toc387526436"/>
      <w:bookmarkStart w:id="465" w:name="_Toc179632627"/>
      <w:bookmarkStart w:id="466" w:name="_Toc246996995"/>
      <w:bookmarkStart w:id="467" w:name="_Toc387526240"/>
      <w:bookmarkStart w:id="468" w:name="_Toc366679736"/>
      <w:bookmarkStart w:id="469" w:name="_Toc247085767"/>
      <w:bookmarkStart w:id="470" w:name="_Toc152045609"/>
      <w:bookmarkStart w:id="471" w:name="_Toc144974577"/>
      <w:r>
        <w:rPr>
          <w:rFonts w:hint="eastAsia" w:ascii="宋体" w:hAnsi="宋体" w:cs="宋体"/>
        </w:rPr>
        <w:br w:type="page"/>
      </w:r>
    </w:p>
    <w:p>
      <w:pPr>
        <w:pStyle w:val="4"/>
        <w:spacing w:before="120" w:after="120" w:line="360" w:lineRule="auto"/>
        <w:rPr>
          <w:rFonts w:ascii="宋体" w:cs="宋体"/>
        </w:rPr>
      </w:pPr>
      <w:r>
        <w:rPr>
          <w:rFonts w:hint="eastAsia" w:ascii="宋体" w:hAnsi="宋体" w:cs="宋体"/>
        </w:rPr>
        <w:t>第三章 评标办法（</w:t>
      </w:r>
      <w:r>
        <w:rPr>
          <w:rFonts w:hint="eastAsia"/>
        </w:rPr>
        <w:t>综合评估法</w:t>
      </w:r>
      <w:r>
        <w:rPr>
          <w:rFonts w:hint="eastAsia" w:ascii="宋体" w:hAnsi="宋体" w:cs="宋体"/>
        </w:rPr>
        <w:t>）</w:t>
      </w:r>
      <w:bookmarkEnd w:id="459"/>
    </w:p>
    <w:p>
      <w:pPr>
        <w:widowControl/>
        <w:spacing w:line="360" w:lineRule="auto"/>
        <w:ind w:firstLine="480" w:firstLineChars="200"/>
        <w:jc w:val="left"/>
        <w:rPr>
          <w:rFonts w:ascii="宋体" w:hAnsi="宋体" w:cs="宋体"/>
          <w:sz w:val="24"/>
        </w:rPr>
      </w:pPr>
      <w:r>
        <w:rPr>
          <w:rFonts w:ascii="宋体" w:hAnsi="宋体" w:cs="宋体"/>
          <w:sz w:val="24"/>
        </w:rPr>
        <w:t>本工程采用</w:t>
      </w:r>
      <w:r>
        <w:rPr>
          <w:rFonts w:hint="eastAsia" w:ascii="宋体" w:hAnsi="宋体" w:cs="宋体"/>
          <w:sz w:val="24"/>
        </w:rPr>
        <w:t>经评审的综合评估法</w:t>
      </w:r>
      <w:r>
        <w:rPr>
          <w:rFonts w:ascii="宋体" w:hAnsi="宋体" w:cs="宋体"/>
          <w:sz w:val="24"/>
        </w:rPr>
        <w:t>，且采用资格后审，具体资格审查及评标细则如下：</w:t>
      </w:r>
    </w:p>
    <w:p>
      <w:pPr>
        <w:widowControl/>
        <w:spacing w:line="360" w:lineRule="auto"/>
        <w:ind w:firstLine="480" w:firstLineChars="200"/>
        <w:jc w:val="left"/>
        <w:rPr>
          <w:rFonts w:ascii="宋体" w:hAnsi="宋体" w:cs="宋体"/>
          <w:sz w:val="24"/>
        </w:rPr>
      </w:pPr>
      <w:r>
        <w:rPr>
          <w:rFonts w:ascii="宋体" w:hAnsi="宋体" w:cs="宋体"/>
          <w:sz w:val="24"/>
        </w:rPr>
        <w:t>一</w:t>
      </w:r>
      <w:r>
        <w:rPr>
          <w:rFonts w:hint="eastAsia" w:ascii="宋体" w:hAnsi="宋体" w:cs="宋体"/>
          <w:sz w:val="24"/>
        </w:rPr>
        <w:t>、</w:t>
      </w:r>
      <w:r>
        <w:rPr>
          <w:rFonts w:ascii="宋体" w:hAnsi="宋体" w:cs="宋体"/>
          <w:sz w:val="24"/>
        </w:rPr>
        <w:t>评标程序</w:t>
      </w:r>
    </w:p>
    <w:p>
      <w:pPr>
        <w:widowControl/>
        <w:spacing w:line="360" w:lineRule="auto"/>
        <w:ind w:firstLine="480" w:firstLineChars="200"/>
        <w:jc w:val="left"/>
        <w:rPr>
          <w:rFonts w:ascii="宋体" w:hAnsi="宋体" w:cs="宋体"/>
          <w:sz w:val="24"/>
        </w:rPr>
      </w:pPr>
      <w:r>
        <w:rPr>
          <w:rFonts w:hint="eastAsia" w:ascii="宋体" w:hAnsi="宋体" w:cs="宋体"/>
          <w:sz w:val="24"/>
        </w:rPr>
        <w:t>资格符合性评审→商务技术标开标及评审→投标报价开标及评审→确定中标候选人</w:t>
      </w:r>
    </w:p>
    <w:p>
      <w:pPr>
        <w:widowControl/>
        <w:spacing w:line="360" w:lineRule="auto"/>
        <w:ind w:firstLine="480" w:firstLineChars="200"/>
        <w:jc w:val="left"/>
        <w:rPr>
          <w:rFonts w:ascii="宋体" w:hAnsi="宋体" w:cs="宋体"/>
          <w:sz w:val="24"/>
        </w:rPr>
      </w:pPr>
      <w:r>
        <w:rPr>
          <w:rFonts w:hint="eastAsia" w:ascii="宋体" w:hAnsi="宋体" w:cs="宋体"/>
          <w:sz w:val="24"/>
        </w:rPr>
        <w:t>二、</w:t>
      </w:r>
      <w:r>
        <w:rPr>
          <w:rFonts w:ascii="宋体" w:hAnsi="宋体" w:cs="宋体"/>
          <w:sz w:val="24"/>
        </w:rPr>
        <w:t>评审标准</w:t>
      </w:r>
    </w:p>
    <w:p>
      <w:pPr>
        <w:widowControl/>
        <w:spacing w:line="360" w:lineRule="auto"/>
        <w:ind w:firstLine="480" w:firstLineChars="200"/>
        <w:jc w:val="left"/>
        <w:rPr>
          <w:rFonts w:ascii="宋体" w:hAnsi="宋体" w:cs="宋体"/>
          <w:sz w:val="24"/>
        </w:rPr>
      </w:pPr>
      <w:r>
        <w:rPr>
          <w:rFonts w:hint="eastAsia" w:ascii="宋体" w:hAnsi="宋体" w:cs="宋体"/>
          <w:sz w:val="24"/>
        </w:rPr>
        <w:t xml:space="preserve">1、投标人资格审查 </w:t>
      </w:r>
    </w:p>
    <w:p>
      <w:pPr>
        <w:widowControl/>
        <w:spacing w:line="360" w:lineRule="auto"/>
        <w:ind w:firstLine="480" w:firstLineChars="200"/>
        <w:jc w:val="left"/>
        <w:rPr>
          <w:rFonts w:ascii="宋体" w:hAnsi="宋体" w:cs="宋体"/>
          <w:sz w:val="24"/>
        </w:rPr>
      </w:pPr>
      <w:r>
        <w:rPr>
          <w:rFonts w:hint="eastAsia" w:ascii="宋体" w:hAnsi="宋体" w:cs="宋体"/>
          <w:sz w:val="24"/>
        </w:rPr>
        <w:t>参加本工程投标的投标人全部进入资格审查，由本工程评标委员会根据参加资格审查的投标人递交的资格审查资料，并按照下表所列《资格审查标准》对投标人的资格进行审查。只有通过资格审查的投标人，方可参加商务标的评标。</w:t>
      </w:r>
    </w:p>
    <w:p>
      <w:pPr>
        <w:widowControl/>
        <w:spacing w:line="360" w:lineRule="auto"/>
        <w:ind w:firstLine="482" w:firstLineChars="200"/>
        <w:jc w:val="center"/>
        <w:rPr>
          <w:rFonts w:ascii="宋体" w:hAnsi="宋体"/>
          <w:kern w:val="0"/>
          <w:sz w:val="24"/>
        </w:rPr>
      </w:pPr>
      <w:r>
        <w:rPr>
          <w:rFonts w:ascii="宋体" w:hAnsi="宋体"/>
          <w:b/>
          <w:sz w:val="24"/>
          <w:u w:val="single"/>
        </w:rPr>
        <w:t>资格审查标准汇总表</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1390"/>
        <w:gridCol w:w="3461"/>
        <w:gridCol w:w="3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widowControl/>
              <w:jc w:val="center"/>
              <w:rPr>
                <w:rFonts w:ascii="宋体" w:hAnsi="宋体"/>
                <w:b/>
                <w:kern w:val="0"/>
                <w:sz w:val="24"/>
              </w:rPr>
            </w:pPr>
            <w:r>
              <w:rPr>
                <w:rFonts w:ascii="宋体" w:hAnsi="宋体"/>
                <w:b/>
                <w:kern w:val="0"/>
                <w:sz w:val="24"/>
              </w:rPr>
              <w:t>序号</w:t>
            </w:r>
          </w:p>
        </w:tc>
        <w:tc>
          <w:tcPr>
            <w:tcW w:w="1477" w:type="dxa"/>
            <w:vAlign w:val="center"/>
          </w:tcPr>
          <w:p>
            <w:pPr>
              <w:widowControl/>
              <w:jc w:val="center"/>
              <w:rPr>
                <w:rFonts w:ascii="宋体" w:hAnsi="宋体"/>
                <w:b/>
                <w:kern w:val="0"/>
                <w:sz w:val="24"/>
              </w:rPr>
            </w:pPr>
            <w:r>
              <w:rPr>
                <w:rFonts w:ascii="宋体" w:hAnsi="宋体"/>
                <w:b/>
                <w:kern w:val="0"/>
                <w:sz w:val="24"/>
              </w:rPr>
              <w:t>项目内容</w:t>
            </w:r>
          </w:p>
        </w:tc>
        <w:tc>
          <w:tcPr>
            <w:tcW w:w="3403" w:type="dxa"/>
            <w:vAlign w:val="center"/>
          </w:tcPr>
          <w:p>
            <w:pPr>
              <w:widowControl/>
              <w:jc w:val="center"/>
              <w:rPr>
                <w:rFonts w:ascii="宋体" w:hAnsi="宋体"/>
                <w:b/>
                <w:kern w:val="0"/>
                <w:sz w:val="24"/>
              </w:rPr>
            </w:pPr>
            <w:r>
              <w:rPr>
                <w:rFonts w:ascii="宋体" w:hAnsi="宋体"/>
                <w:b/>
                <w:kern w:val="0"/>
                <w:sz w:val="24"/>
              </w:rPr>
              <w:t>合格条件</w:t>
            </w:r>
          </w:p>
        </w:tc>
        <w:tc>
          <w:tcPr>
            <w:tcW w:w="3429" w:type="dxa"/>
            <w:vAlign w:val="center"/>
          </w:tcPr>
          <w:p>
            <w:pPr>
              <w:widowControl/>
              <w:jc w:val="center"/>
              <w:rPr>
                <w:rFonts w:ascii="宋体" w:hAnsi="宋体"/>
                <w:b/>
                <w:kern w:val="0"/>
                <w:sz w:val="24"/>
              </w:rPr>
            </w:pPr>
            <w:r>
              <w:rPr>
                <w:rFonts w:ascii="宋体" w:hAnsi="宋体"/>
                <w:b/>
                <w:kern w:val="0"/>
                <w:sz w:val="24"/>
              </w:rPr>
              <w:t>投标人需提供的材料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widowControl/>
              <w:jc w:val="center"/>
              <w:rPr>
                <w:rFonts w:ascii="宋体" w:hAnsi="宋体"/>
                <w:kern w:val="0"/>
                <w:szCs w:val="21"/>
              </w:rPr>
            </w:pPr>
            <w:r>
              <w:rPr>
                <w:rFonts w:ascii="宋体" w:hAnsi="宋体"/>
                <w:kern w:val="0"/>
                <w:szCs w:val="21"/>
              </w:rPr>
              <w:t>1</w:t>
            </w:r>
          </w:p>
        </w:tc>
        <w:tc>
          <w:tcPr>
            <w:tcW w:w="1477" w:type="dxa"/>
          </w:tcPr>
          <w:p>
            <w:pPr>
              <w:rPr>
                <w:szCs w:val="21"/>
              </w:rPr>
            </w:pPr>
            <w:r>
              <w:rPr>
                <w:rFonts w:hint="eastAsia"/>
                <w:szCs w:val="21"/>
              </w:rPr>
              <w:t>法定代表人身份证明书及法人身份证复印件</w:t>
            </w:r>
          </w:p>
        </w:tc>
        <w:tc>
          <w:tcPr>
            <w:tcW w:w="3403" w:type="dxa"/>
            <w:vAlign w:val="center"/>
          </w:tcPr>
          <w:p>
            <w:pPr>
              <w:rPr>
                <w:szCs w:val="21"/>
              </w:rPr>
            </w:pPr>
            <w:r>
              <w:rPr>
                <w:rFonts w:hint="eastAsia"/>
                <w:szCs w:val="21"/>
              </w:rPr>
              <w:t>必须盖单位公章的原件</w:t>
            </w:r>
          </w:p>
        </w:tc>
        <w:tc>
          <w:tcPr>
            <w:tcW w:w="3429" w:type="dxa"/>
            <w:vAlign w:val="center"/>
          </w:tcPr>
          <w:p>
            <w:pPr>
              <w:rPr>
                <w:rFonts w:ascii="宋体" w:hAnsi="宋体"/>
                <w:kern w:val="0"/>
                <w:szCs w:val="21"/>
              </w:rPr>
            </w:pPr>
            <w:r>
              <w:rPr>
                <w:rFonts w:hint="eastAsia" w:ascii="宋体" w:hAnsi="宋体" w:cs="宋体"/>
                <w:szCs w:val="21"/>
              </w:rPr>
              <w:t>法定代表人身份证明书，格式详见招标文件第六章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widowControl/>
              <w:jc w:val="center"/>
              <w:rPr>
                <w:rFonts w:ascii="宋体" w:hAnsi="宋体"/>
                <w:kern w:val="0"/>
                <w:szCs w:val="21"/>
              </w:rPr>
            </w:pPr>
            <w:r>
              <w:rPr>
                <w:rFonts w:hint="eastAsia" w:ascii="宋体" w:hAnsi="宋体"/>
                <w:kern w:val="0"/>
                <w:szCs w:val="21"/>
              </w:rPr>
              <w:t>2</w:t>
            </w:r>
          </w:p>
        </w:tc>
        <w:tc>
          <w:tcPr>
            <w:tcW w:w="1477" w:type="dxa"/>
          </w:tcPr>
          <w:p>
            <w:pPr>
              <w:rPr>
                <w:szCs w:val="21"/>
              </w:rPr>
            </w:pPr>
            <w:r>
              <w:rPr>
                <w:rFonts w:hint="eastAsia"/>
                <w:szCs w:val="21"/>
              </w:rPr>
              <w:t>法人授权委托书及委托代理人身份证复印件（如有授权）</w:t>
            </w:r>
          </w:p>
        </w:tc>
        <w:tc>
          <w:tcPr>
            <w:tcW w:w="3403" w:type="dxa"/>
            <w:vAlign w:val="center"/>
          </w:tcPr>
          <w:p>
            <w:pPr>
              <w:rPr>
                <w:szCs w:val="21"/>
              </w:rPr>
            </w:pPr>
            <w:r>
              <w:rPr>
                <w:rFonts w:hint="eastAsia"/>
                <w:szCs w:val="21"/>
              </w:rPr>
              <w:t>必须盖单位法定代表人章（或签字）及单位公章的原件</w:t>
            </w:r>
          </w:p>
        </w:tc>
        <w:tc>
          <w:tcPr>
            <w:tcW w:w="3429" w:type="dxa"/>
            <w:vAlign w:val="center"/>
          </w:tcPr>
          <w:p>
            <w:pPr>
              <w:rPr>
                <w:rFonts w:ascii="宋体" w:hAnsi="宋体"/>
                <w:kern w:val="0"/>
                <w:szCs w:val="21"/>
              </w:rPr>
            </w:pPr>
            <w:r>
              <w:rPr>
                <w:rFonts w:hint="eastAsia" w:ascii="宋体" w:hAnsi="宋体" w:cs="宋体"/>
                <w:szCs w:val="21"/>
              </w:rPr>
              <w:t>授权委托书（如有），格式详见招标文件第六章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widowControl/>
              <w:jc w:val="center"/>
              <w:rPr>
                <w:rFonts w:ascii="宋体" w:hAnsi="宋体"/>
                <w:kern w:val="0"/>
                <w:szCs w:val="21"/>
              </w:rPr>
            </w:pPr>
            <w:r>
              <w:rPr>
                <w:rFonts w:hint="eastAsia" w:ascii="宋体" w:hAnsi="宋体"/>
                <w:kern w:val="0"/>
                <w:szCs w:val="21"/>
              </w:rPr>
              <w:t>3</w:t>
            </w:r>
          </w:p>
        </w:tc>
        <w:tc>
          <w:tcPr>
            <w:tcW w:w="1477" w:type="dxa"/>
            <w:vAlign w:val="center"/>
          </w:tcPr>
          <w:p>
            <w:pPr>
              <w:widowControl/>
              <w:jc w:val="left"/>
              <w:rPr>
                <w:rFonts w:ascii="宋体" w:hAnsi="宋体"/>
                <w:kern w:val="0"/>
                <w:szCs w:val="21"/>
              </w:rPr>
            </w:pPr>
            <w:r>
              <w:rPr>
                <w:rFonts w:ascii="宋体" w:hAnsi="宋体"/>
                <w:kern w:val="0"/>
                <w:szCs w:val="21"/>
              </w:rPr>
              <w:t>具有独立订立合同的能力</w:t>
            </w:r>
          </w:p>
        </w:tc>
        <w:tc>
          <w:tcPr>
            <w:tcW w:w="3403" w:type="dxa"/>
            <w:vAlign w:val="center"/>
          </w:tcPr>
          <w:p>
            <w:pPr>
              <w:widowControl/>
              <w:jc w:val="left"/>
              <w:rPr>
                <w:rFonts w:ascii="宋体" w:hAnsi="宋体"/>
                <w:kern w:val="0"/>
                <w:szCs w:val="21"/>
              </w:rPr>
            </w:pPr>
            <w:r>
              <w:rPr>
                <w:rFonts w:ascii="宋体" w:hAnsi="宋体"/>
                <w:kern w:val="0"/>
                <w:szCs w:val="21"/>
              </w:rPr>
              <w:t>有效的工商行政管理部门颁发的营业执照</w:t>
            </w:r>
          </w:p>
        </w:tc>
        <w:tc>
          <w:tcPr>
            <w:tcW w:w="3429" w:type="dxa"/>
            <w:vAlign w:val="center"/>
          </w:tcPr>
          <w:p>
            <w:pPr>
              <w:widowControl/>
              <w:jc w:val="left"/>
              <w:rPr>
                <w:rFonts w:ascii="宋体" w:hAnsi="宋体"/>
                <w:kern w:val="0"/>
                <w:szCs w:val="21"/>
              </w:rPr>
            </w:pPr>
            <w:r>
              <w:rPr>
                <w:rFonts w:ascii="宋体" w:hAnsi="宋体"/>
                <w:kern w:val="0"/>
                <w:szCs w:val="21"/>
              </w:rPr>
              <w:t>有效的企业营业执照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widowControl/>
              <w:jc w:val="center"/>
              <w:rPr>
                <w:rFonts w:ascii="宋体" w:hAnsi="宋体"/>
                <w:kern w:val="0"/>
                <w:szCs w:val="21"/>
              </w:rPr>
            </w:pPr>
            <w:r>
              <w:rPr>
                <w:rFonts w:hint="eastAsia" w:ascii="宋体" w:hAnsi="宋体"/>
                <w:kern w:val="0"/>
                <w:szCs w:val="21"/>
              </w:rPr>
              <w:t>4</w:t>
            </w:r>
          </w:p>
        </w:tc>
        <w:tc>
          <w:tcPr>
            <w:tcW w:w="1477" w:type="dxa"/>
            <w:vAlign w:val="center"/>
          </w:tcPr>
          <w:p>
            <w:pPr>
              <w:widowControl/>
              <w:jc w:val="left"/>
              <w:rPr>
                <w:rFonts w:ascii="宋体" w:hAnsi="宋体"/>
                <w:kern w:val="0"/>
                <w:szCs w:val="21"/>
              </w:rPr>
            </w:pPr>
            <w:r>
              <w:rPr>
                <w:rFonts w:hint="eastAsia" w:ascii="宋体" w:hAnsi="宋体"/>
                <w:kern w:val="0"/>
                <w:szCs w:val="21"/>
              </w:rPr>
              <w:t>无不良记录承诺书</w:t>
            </w:r>
          </w:p>
        </w:tc>
        <w:tc>
          <w:tcPr>
            <w:tcW w:w="3403" w:type="dxa"/>
            <w:vAlign w:val="center"/>
          </w:tcPr>
          <w:p>
            <w:pPr>
              <w:widowControl/>
              <w:jc w:val="left"/>
              <w:rPr>
                <w:rFonts w:ascii="宋体" w:hAnsi="宋体"/>
                <w:kern w:val="0"/>
                <w:szCs w:val="21"/>
              </w:rPr>
            </w:pPr>
            <w:r>
              <w:rPr>
                <w:rFonts w:ascii="宋体" w:hAnsi="宋体"/>
                <w:kern w:val="0"/>
                <w:szCs w:val="21"/>
              </w:rPr>
              <w:t>符合招标文件投标人须知第</w:t>
            </w:r>
            <w:r>
              <w:rPr>
                <w:rFonts w:hint="eastAsia" w:ascii="宋体" w:hAnsi="宋体"/>
                <w:kern w:val="0"/>
                <w:szCs w:val="21"/>
              </w:rPr>
              <w:t>1.4条规定，</w:t>
            </w:r>
            <w:r>
              <w:rPr>
                <w:rFonts w:hint="eastAsia"/>
                <w:szCs w:val="21"/>
              </w:rPr>
              <w:t>必须盖单位公章的原件。</w:t>
            </w:r>
          </w:p>
        </w:tc>
        <w:tc>
          <w:tcPr>
            <w:tcW w:w="3429" w:type="dxa"/>
            <w:vAlign w:val="center"/>
          </w:tcPr>
          <w:p>
            <w:pPr>
              <w:widowControl/>
              <w:jc w:val="left"/>
              <w:rPr>
                <w:rFonts w:ascii="宋体" w:hAnsi="宋体"/>
                <w:kern w:val="0"/>
                <w:szCs w:val="21"/>
              </w:rPr>
            </w:pPr>
            <w:r>
              <w:rPr>
                <w:rFonts w:hint="eastAsia" w:ascii="宋体" w:hAnsi="宋体"/>
                <w:kern w:val="0"/>
                <w:szCs w:val="21"/>
              </w:rPr>
              <w:t>无不良记录承诺书（格式详见招标文件第六章）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widowControl/>
              <w:jc w:val="center"/>
              <w:rPr>
                <w:rFonts w:ascii="宋体" w:hAnsi="宋体"/>
                <w:kern w:val="0"/>
                <w:szCs w:val="21"/>
              </w:rPr>
            </w:pPr>
            <w:r>
              <w:rPr>
                <w:rFonts w:hint="eastAsia" w:ascii="宋体" w:hAnsi="宋体"/>
                <w:kern w:val="0"/>
                <w:szCs w:val="21"/>
              </w:rPr>
              <w:t>5</w:t>
            </w:r>
          </w:p>
        </w:tc>
        <w:tc>
          <w:tcPr>
            <w:tcW w:w="1477" w:type="dxa"/>
            <w:vAlign w:val="center"/>
          </w:tcPr>
          <w:p>
            <w:pPr>
              <w:widowControl/>
              <w:jc w:val="left"/>
              <w:rPr>
                <w:rFonts w:ascii="宋体" w:hAnsi="宋体"/>
                <w:kern w:val="0"/>
                <w:szCs w:val="21"/>
              </w:rPr>
            </w:pPr>
            <w:r>
              <w:rPr>
                <w:rFonts w:ascii="宋体" w:hAnsi="宋体"/>
                <w:kern w:val="0"/>
                <w:szCs w:val="21"/>
              </w:rPr>
              <w:t>其它</w:t>
            </w:r>
          </w:p>
        </w:tc>
        <w:tc>
          <w:tcPr>
            <w:tcW w:w="0" w:type="auto"/>
            <w:vAlign w:val="center"/>
          </w:tcPr>
          <w:p>
            <w:pPr>
              <w:widowControl/>
              <w:jc w:val="left"/>
              <w:rPr>
                <w:rFonts w:ascii="宋体" w:hAnsi="宋体"/>
                <w:kern w:val="0"/>
                <w:szCs w:val="21"/>
              </w:rPr>
            </w:pPr>
            <w:r>
              <w:rPr>
                <w:rFonts w:ascii="宋体" w:hAnsi="宋体"/>
                <w:kern w:val="0"/>
                <w:szCs w:val="21"/>
              </w:rPr>
              <w:t>符合招标文件投标人须知第</w:t>
            </w:r>
            <w:r>
              <w:rPr>
                <w:rFonts w:hint="eastAsia" w:ascii="宋体" w:hAnsi="宋体"/>
                <w:kern w:val="0"/>
                <w:szCs w:val="21"/>
              </w:rPr>
              <w:t>1.4条规定</w:t>
            </w:r>
          </w:p>
        </w:tc>
        <w:tc>
          <w:tcPr>
            <w:tcW w:w="0" w:type="auto"/>
            <w:vAlign w:val="center"/>
          </w:tcPr>
          <w:p>
            <w:pPr>
              <w:widowControl/>
              <w:jc w:val="left"/>
              <w:rPr>
                <w:rFonts w:ascii="宋体" w:hAnsi="宋体"/>
                <w:kern w:val="0"/>
                <w:szCs w:val="21"/>
              </w:rPr>
            </w:pPr>
            <w:r>
              <w:rPr>
                <w:rFonts w:hint="eastAsia" w:ascii="宋体" w:hAnsi="宋体"/>
                <w:kern w:val="0"/>
                <w:szCs w:val="21"/>
              </w:rPr>
              <w:t>满</w:t>
            </w:r>
            <w:r>
              <w:rPr>
                <w:rFonts w:ascii="宋体" w:hAnsi="宋体"/>
                <w:kern w:val="0"/>
                <w:szCs w:val="21"/>
              </w:rPr>
              <w:t>足招标文件投标人须知第</w:t>
            </w:r>
            <w:r>
              <w:rPr>
                <w:rFonts w:hint="eastAsia" w:ascii="宋体" w:hAnsi="宋体"/>
                <w:kern w:val="0"/>
                <w:szCs w:val="21"/>
              </w:rPr>
              <w:t>1.4条规定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widowControl/>
              <w:jc w:val="center"/>
              <w:rPr>
                <w:rFonts w:ascii="宋体" w:hAnsi="宋体"/>
                <w:kern w:val="0"/>
                <w:szCs w:val="21"/>
              </w:rPr>
            </w:pPr>
          </w:p>
        </w:tc>
        <w:tc>
          <w:tcPr>
            <w:tcW w:w="8309" w:type="dxa"/>
            <w:gridSpan w:val="3"/>
            <w:vAlign w:val="center"/>
          </w:tcPr>
          <w:p>
            <w:pPr>
              <w:widowControl/>
              <w:jc w:val="left"/>
              <w:rPr>
                <w:rFonts w:ascii="宋体" w:hAnsi="宋体"/>
                <w:kern w:val="0"/>
                <w:szCs w:val="21"/>
              </w:rPr>
            </w:pPr>
            <w:r>
              <w:rPr>
                <w:rFonts w:hint="eastAsia" w:ascii="宋体" w:hAnsi="宋体"/>
                <w:b/>
                <w:szCs w:val="21"/>
                <w:lang w:val="zh-CN"/>
              </w:rPr>
              <w:t>以上</w:t>
            </w:r>
            <w:r>
              <w:rPr>
                <w:rFonts w:ascii="宋体" w:hAnsi="宋体"/>
                <w:b/>
                <w:szCs w:val="21"/>
              </w:rPr>
              <w:t>1-</w:t>
            </w:r>
            <w:r>
              <w:rPr>
                <w:rFonts w:hint="eastAsia" w:ascii="宋体" w:hAnsi="宋体"/>
                <w:b/>
                <w:szCs w:val="21"/>
              </w:rPr>
              <w:t>5</w:t>
            </w:r>
            <w:r>
              <w:rPr>
                <w:rFonts w:hint="eastAsia" w:ascii="宋体" w:hAnsi="宋体"/>
                <w:b/>
                <w:szCs w:val="21"/>
                <w:lang w:val="zh-CN"/>
              </w:rPr>
              <w:t>中任何一条不符合要求的，则资格审查不通过。</w:t>
            </w:r>
            <w:r>
              <w:rPr>
                <w:rFonts w:hint="eastAsia" w:ascii="宋体" w:hAnsi="宋体" w:cs="宋体"/>
                <w:b/>
                <w:bCs/>
                <w:kern w:val="0"/>
                <w:szCs w:val="21"/>
              </w:rPr>
              <w:t>以上第3条提供复印件并加盖单位公章，其余按要求提供原件加盖公章。</w:t>
            </w:r>
          </w:p>
        </w:tc>
      </w:tr>
    </w:tbl>
    <w:p>
      <w:pPr>
        <w:spacing w:line="420" w:lineRule="exact"/>
        <w:ind w:firstLine="480" w:firstLineChars="200"/>
        <w:rPr>
          <w:rFonts w:ascii="宋体" w:hAnsi="宋体"/>
          <w:sz w:val="24"/>
        </w:rPr>
      </w:pPr>
      <w:r>
        <w:rPr>
          <w:rFonts w:hint="eastAsia" w:ascii="宋体" w:hAnsi="宋体"/>
          <w:sz w:val="24"/>
        </w:rPr>
        <w:t>2、商务技术标评审（满分5</w:t>
      </w:r>
      <w:r>
        <w:rPr>
          <w:rFonts w:ascii="宋体" w:hAnsi="宋体"/>
          <w:sz w:val="24"/>
        </w:rPr>
        <w:t>0</w:t>
      </w:r>
      <w:r>
        <w:rPr>
          <w:rFonts w:hint="eastAsia" w:ascii="宋体" w:hAnsi="宋体"/>
          <w:sz w:val="24"/>
        </w:rPr>
        <w:t>分）</w:t>
      </w:r>
    </w:p>
    <w:p>
      <w:pPr>
        <w:spacing w:line="420" w:lineRule="exact"/>
        <w:ind w:firstLine="480" w:firstLineChars="200"/>
        <w:rPr>
          <w:rFonts w:ascii="宋体" w:hAnsi="宋体" w:cs="宋体"/>
          <w:kern w:val="0"/>
          <w:sz w:val="24"/>
        </w:rPr>
      </w:pPr>
      <w:r>
        <w:rPr>
          <w:rFonts w:hint="eastAsia" w:ascii="宋体" w:hAnsi="宋体" w:cs="宋体"/>
          <w:kern w:val="0"/>
          <w:sz w:val="24"/>
        </w:rPr>
        <w:t>由评标委员会对投标人的投标文件根据以下几个方面进行综合评估后打分(取评委打分的平均值，得分保留两位小数)。</w:t>
      </w:r>
    </w:p>
    <w:p>
      <w:pPr>
        <w:spacing w:line="420" w:lineRule="exact"/>
        <w:ind w:firstLine="480" w:firstLineChars="200"/>
        <w:rPr>
          <w:rFonts w:ascii="宋体" w:hAnsi="宋体"/>
          <w:sz w:val="24"/>
        </w:rPr>
      </w:pPr>
    </w:p>
    <w:tbl>
      <w:tblPr>
        <w:tblStyle w:val="50"/>
        <w:tblW w:w="9653" w:type="dxa"/>
        <w:jc w:val="center"/>
        <w:tblLayout w:type="autofit"/>
        <w:tblCellMar>
          <w:top w:w="0" w:type="dxa"/>
          <w:left w:w="108" w:type="dxa"/>
          <w:bottom w:w="0" w:type="dxa"/>
          <w:right w:w="108" w:type="dxa"/>
        </w:tblCellMar>
      </w:tblPr>
      <w:tblGrid>
        <w:gridCol w:w="699"/>
        <w:gridCol w:w="1493"/>
        <w:gridCol w:w="719"/>
        <w:gridCol w:w="6742"/>
      </w:tblGrid>
      <w:tr>
        <w:tblPrEx>
          <w:tblCellMar>
            <w:top w:w="0" w:type="dxa"/>
            <w:left w:w="108" w:type="dxa"/>
            <w:bottom w:w="0" w:type="dxa"/>
            <w:right w:w="108" w:type="dxa"/>
          </w:tblCellMar>
        </w:tblPrEx>
        <w:trPr>
          <w:trHeight w:val="369"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149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评分点名称</w:t>
            </w:r>
          </w:p>
        </w:tc>
        <w:tc>
          <w:tcPr>
            <w:tcW w:w="71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分值</w:t>
            </w:r>
          </w:p>
        </w:tc>
        <w:tc>
          <w:tcPr>
            <w:tcW w:w="674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评审标准</w:t>
            </w:r>
          </w:p>
        </w:tc>
      </w:tr>
      <w:tr>
        <w:tblPrEx>
          <w:tblCellMar>
            <w:top w:w="0" w:type="dxa"/>
            <w:left w:w="108" w:type="dxa"/>
            <w:bottom w:w="0" w:type="dxa"/>
            <w:right w:w="108" w:type="dxa"/>
          </w:tblCellMar>
        </w:tblPrEx>
        <w:trPr>
          <w:trHeight w:val="1166"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149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kern w:val="0"/>
                <w:sz w:val="24"/>
              </w:rPr>
              <w:t>技术、规格、配置、功能等</w:t>
            </w:r>
          </w:p>
        </w:tc>
        <w:tc>
          <w:tcPr>
            <w:tcW w:w="71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kern w:val="0"/>
                <w:sz w:val="24"/>
              </w:rPr>
              <w:t>15分</w:t>
            </w:r>
          </w:p>
        </w:tc>
        <w:tc>
          <w:tcPr>
            <w:tcW w:w="674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kern w:val="0"/>
                <w:sz w:val="24"/>
              </w:rPr>
              <w:t>招标文件“项目需求”技术参数文件中带“★”为关键技术要求，投标人需如实填写 （格式详见第六章“关键技术参数要求响应表”）并按照要求提供相应证明材料，由评委针对带“★”的关键技术要求响应及证明情况进行评审，全部符合的得15分，</w:t>
            </w:r>
            <w:r>
              <w:rPr>
                <w:rFonts w:hint="eastAsia"/>
                <w:sz w:val="24"/>
              </w:rPr>
              <w:t>每缺少一项或不满足者扣2分，扣完为止。</w:t>
            </w:r>
          </w:p>
        </w:tc>
      </w:tr>
      <w:tr>
        <w:tblPrEx>
          <w:tblCellMar>
            <w:top w:w="0" w:type="dxa"/>
            <w:left w:w="108" w:type="dxa"/>
            <w:bottom w:w="0" w:type="dxa"/>
            <w:right w:w="108" w:type="dxa"/>
          </w:tblCellMar>
        </w:tblPrEx>
        <w:trPr>
          <w:trHeight w:val="1166"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49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kern w:val="0"/>
                <w:sz w:val="24"/>
              </w:rPr>
              <w:t>样品品质</w:t>
            </w:r>
          </w:p>
        </w:tc>
        <w:tc>
          <w:tcPr>
            <w:tcW w:w="71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kern w:val="0"/>
                <w:sz w:val="24"/>
              </w:rPr>
              <w:t>10分</w:t>
            </w:r>
          </w:p>
        </w:tc>
        <w:tc>
          <w:tcPr>
            <w:tcW w:w="6742" w:type="dxa"/>
            <w:tcBorders>
              <w:top w:val="single" w:color="auto" w:sz="4" w:space="0"/>
              <w:left w:val="nil"/>
              <w:bottom w:val="single" w:color="auto" w:sz="4" w:space="0"/>
              <w:right w:val="single" w:color="auto" w:sz="4" w:space="0"/>
            </w:tcBorders>
            <w:vAlign w:val="center"/>
          </w:tcPr>
          <w:p>
            <w:pPr>
              <w:widowControl/>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投标人须提供样品①交流充电桩、②安装立柱各一件，其中交流充电桩样品须能拆除外壳固定螺栓，可打开查看内部元气件， 评标委员会将根据提供的样品进行横向综合比较。</w:t>
            </w:r>
          </w:p>
          <w:p>
            <w:pPr>
              <w:widowControl/>
              <w:jc w:val="left"/>
              <w:rPr>
                <w:rFonts w:ascii="宋体" w:hAnsi="宋体" w:cs="宋体"/>
                <w:color w:val="000000"/>
                <w:kern w:val="0"/>
                <w:sz w:val="24"/>
              </w:rPr>
            </w:pPr>
            <w:r>
              <w:rPr>
                <w:rFonts w:hint="eastAsia" w:ascii="宋体" w:hAnsi="宋体" w:cs="宋体"/>
                <w:kern w:val="0"/>
                <w:sz w:val="24"/>
              </w:rPr>
              <w:t>优秀得</w:t>
            </w:r>
            <w:r>
              <w:rPr>
                <w:rFonts w:ascii="宋体" w:hAnsi="宋体" w:cs="宋体"/>
                <w:kern w:val="0"/>
                <w:sz w:val="24"/>
              </w:rPr>
              <w:t>10</w:t>
            </w:r>
            <w:r>
              <w:rPr>
                <w:rFonts w:hint="eastAsia" w:ascii="宋体" w:hAnsi="宋体" w:cs="宋体"/>
                <w:kern w:val="0"/>
                <w:sz w:val="24"/>
              </w:rPr>
              <w:t>.0分（含）-7.0（不含）分；良好得7.0分（含）-4.0分（不含）；一般得4.0（含）-0分；未提供或</w:t>
            </w:r>
            <w:r>
              <w:rPr>
                <w:rFonts w:hint="eastAsia"/>
                <w:color w:val="000000" w:themeColor="text1"/>
                <w:sz w:val="24"/>
                <w14:textFill>
                  <w14:solidFill>
                    <w14:schemeClr w14:val="tx1"/>
                  </w14:solidFill>
                </w14:textFill>
              </w:rPr>
              <w:t>流充电桩样品无法打开</w:t>
            </w:r>
            <w:r>
              <w:rPr>
                <w:rFonts w:hint="eastAsia" w:ascii="宋体" w:hAnsi="宋体" w:cs="宋体"/>
                <w:kern w:val="0"/>
                <w:sz w:val="24"/>
              </w:rPr>
              <w:t>的不得分。</w:t>
            </w:r>
          </w:p>
        </w:tc>
      </w:tr>
      <w:tr>
        <w:tblPrEx>
          <w:tblCellMar>
            <w:top w:w="0" w:type="dxa"/>
            <w:left w:w="108" w:type="dxa"/>
            <w:bottom w:w="0" w:type="dxa"/>
            <w:right w:w="108" w:type="dxa"/>
          </w:tblCellMar>
        </w:tblPrEx>
        <w:trPr>
          <w:trHeight w:val="1166"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49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安装调试</w:t>
            </w:r>
          </w:p>
          <w:p>
            <w:pPr>
              <w:widowControl/>
              <w:jc w:val="center"/>
              <w:rPr>
                <w:rFonts w:ascii="宋体" w:hAnsi="宋体" w:cs="宋体"/>
                <w:color w:val="000000"/>
                <w:kern w:val="0"/>
                <w:sz w:val="24"/>
              </w:rPr>
            </w:pPr>
            <w:r>
              <w:rPr>
                <w:rFonts w:hint="eastAsia" w:ascii="宋体" w:hAnsi="宋体" w:cs="宋体"/>
                <w:color w:val="000000"/>
                <w:kern w:val="0"/>
                <w:sz w:val="24"/>
              </w:rPr>
              <w:t>方案</w:t>
            </w:r>
          </w:p>
        </w:tc>
        <w:tc>
          <w:tcPr>
            <w:tcW w:w="71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ascii="宋体" w:hAnsi="宋体" w:cs="宋体"/>
                <w:color w:val="000000"/>
                <w:kern w:val="0"/>
                <w:sz w:val="24"/>
              </w:rPr>
              <w:t>10</w:t>
            </w:r>
            <w:r>
              <w:rPr>
                <w:rFonts w:hint="eastAsia" w:ascii="宋体" w:hAnsi="宋体" w:cs="宋体"/>
                <w:color w:val="000000"/>
                <w:kern w:val="0"/>
                <w:sz w:val="24"/>
              </w:rPr>
              <w:t>分</w:t>
            </w:r>
          </w:p>
        </w:tc>
        <w:tc>
          <w:tcPr>
            <w:tcW w:w="674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评标委员会根据投标文件，从现场安装人员、设施配备安装及调试方案情况，进行横向综合比较打分。</w:t>
            </w:r>
          </w:p>
          <w:p>
            <w:pPr>
              <w:widowControl/>
              <w:jc w:val="left"/>
              <w:rPr>
                <w:rFonts w:ascii="宋体" w:hAnsi="宋体" w:cs="宋体"/>
                <w:color w:val="000000"/>
                <w:kern w:val="0"/>
                <w:sz w:val="24"/>
              </w:rPr>
            </w:pPr>
            <w:r>
              <w:rPr>
                <w:rFonts w:hint="eastAsia" w:ascii="宋体" w:hAnsi="宋体" w:cs="宋体"/>
                <w:kern w:val="0"/>
                <w:sz w:val="24"/>
              </w:rPr>
              <w:t>优秀得</w:t>
            </w:r>
            <w:r>
              <w:rPr>
                <w:rFonts w:ascii="宋体" w:hAnsi="宋体" w:cs="宋体"/>
                <w:kern w:val="0"/>
                <w:sz w:val="24"/>
              </w:rPr>
              <w:t>10</w:t>
            </w:r>
            <w:r>
              <w:rPr>
                <w:rFonts w:hint="eastAsia" w:ascii="宋体" w:hAnsi="宋体" w:cs="宋体"/>
                <w:kern w:val="0"/>
                <w:sz w:val="24"/>
              </w:rPr>
              <w:t>.0分（含）-7.0（不含）分；良好得7.0分（含）-4.0分（不含）；一般得4.0（含）-0分；未提供或缺少重点的不得分。</w:t>
            </w:r>
          </w:p>
        </w:tc>
      </w:tr>
      <w:tr>
        <w:tblPrEx>
          <w:tblCellMar>
            <w:top w:w="0" w:type="dxa"/>
            <w:left w:w="108" w:type="dxa"/>
            <w:bottom w:w="0" w:type="dxa"/>
            <w:right w:w="108" w:type="dxa"/>
          </w:tblCellMar>
        </w:tblPrEx>
        <w:trPr>
          <w:trHeight w:val="1166"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149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售后服务</w:t>
            </w:r>
          </w:p>
          <w:p>
            <w:pPr>
              <w:widowControl/>
              <w:jc w:val="center"/>
              <w:rPr>
                <w:rFonts w:ascii="宋体" w:hAnsi="宋体" w:cs="宋体"/>
                <w:color w:val="000000"/>
                <w:kern w:val="0"/>
                <w:sz w:val="24"/>
              </w:rPr>
            </w:pPr>
            <w:r>
              <w:rPr>
                <w:rFonts w:hint="eastAsia" w:ascii="宋体" w:hAnsi="宋体" w:cs="宋体"/>
                <w:kern w:val="0"/>
                <w:sz w:val="24"/>
              </w:rPr>
              <w:t xml:space="preserve">方案 </w:t>
            </w:r>
          </w:p>
        </w:tc>
        <w:tc>
          <w:tcPr>
            <w:tcW w:w="71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kern w:val="0"/>
                <w:sz w:val="24"/>
              </w:rPr>
              <w:t>10分</w:t>
            </w:r>
          </w:p>
        </w:tc>
        <w:tc>
          <w:tcPr>
            <w:tcW w:w="674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评标委员会根据投标文件，从售后服务人员配置、售后服务内容、服务响应方式及时间、质保内容及对使用方人员的培训计划等方案，进行横向综合比较打分。</w:t>
            </w:r>
          </w:p>
          <w:p>
            <w:pPr>
              <w:widowControl/>
              <w:jc w:val="left"/>
              <w:rPr>
                <w:rFonts w:ascii="宋体" w:hAnsi="宋体" w:cs="宋体"/>
                <w:color w:val="000000"/>
                <w:kern w:val="0"/>
                <w:sz w:val="24"/>
              </w:rPr>
            </w:pPr>
            <w:r>
              <w:rPr>
                <w:rFonts w:hint="eastAsia" w:ascii="宋体" w:hAnsi="宋体" w:cs="宋体"/>
                <w:kern w:val="0"/>
                <w:sz w:val="24"/>
              </w:rPr>
              <w:t>优秀得</w:t>
            </w:r>
            <w:r>
              <w:rPr>
                <w:rFonts w:ascii="宋体" w:hAnsi="宋体" w:cs="宋体"/>
                <w:kern w:val="0"/>
                <w:sz w:val="24"/>
              </w:rPr>
              <w:t>10</w:t>
            </w:r>
            <w:r>
              <w:rPr>
                <w:rFonts w:hint="eastAsia" w:ascii="宋体" w:hAnsi="宋体" w:cs="宋体"/>
                <w:kern w:val="0"/>
                <w:sz w:val="24"/>
              </w:rPr>
              <w:t>.0分（含）-7.0（不含）分；良好得7.0分（含）-4.0分（不含）；一般得4.0（含）-0分；未提供或缺少重点的不得分。</w:t>
            </w:r>
          </w:p>
        </w:tc>
      </w:tr>
      <w:tr>
        <w:tblPrEx>
          <w:tblCellMar>
            <w:top w:w="0" w:type="dxa"/>
            <w:left w:w="108" w:type="dxa"/>
            <w:bottom w:w="0" w:type="dxa"/>
            <w:right w:w="108" w:type="dxa"/>
          </w:tblCellMar>
        </w:tblPrEx>
        <w:trPr>
          <w:trHeight w:val="1166"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149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类似业绩</w:t>
            </w:r>
          </w:p>
        </w:tc>
        <w:tc>
          <w:tcPr>
            <w:tcW w:w="71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p>
            <w:pPr>
              <w:widowControl/>
              <w:jc w:val="center"/>
              <w:rPr>
                <w:rFonts w:ascii="宋体" w:hAnsi="宋体" w:cs="宋体"/>
                <w:color w:val="000000"/>
                <w:kern w:val="0"/>
                <w:sz w:val="24"/>
              </w:rPr>
            </w:pPr>
            <w:r>
              <w:rPr>
                <w:rFonts w:hint="eastAsia" w:ascii="宋体" w:hAnsi="宋体" w:cs="宋体"/>
                <w:color w:val="000000"/>
                <w:kern w:val="0"/>
                <w:sz w:val="24"/>
              </w:rPr>
              <w:t>分</w:t>
            </w:r>
          </w:p>
        </w:tc>
        <w:tc>
          <w:tcPr>
            <w:tcW w:w="674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auto"/>
                <w:kern w:val="0"/>
                <w:sz w:val="24"/>
              </w:rPr>
              <w:t>自20</w:t>
            </w:r>
            <w:r>
              <w:rPr>
                <w:rFonts w:ascii="宋体" w:hAnsi="宋体" w:cs="宋体"/>
                <w:color w:val="auto"/>
                <w:kern w:val="0"/>
                <w:sz w:val="24"/>
              </w:rPr>
              <w:t>21</w:t>
            </w:r>
            <w:r>
              <w:rPr>
                <w:rFonts w:hint="eastAsia" w:ascii="宋体" w:hAnsi="宋体" w:cs="宋体"/>
                <w:color w:val="auto"/>
                <w:kern w:val="0"/>
                <w:sz w:val="24"/>
              </w:rPr>
              <w:t>年</w:t>
            </w:r>
            <w:r>
              <w:rPr>
                <w:rFonts w:ascii="宋体" w:hAnsi="宋体" w:cs="宋体"/>
                <w:color w:val="auto"/>
                <w:kern w:val="0"/>
                <w:sz w:val="24"/>
              </w:rPr>
              <w:t>1</w:t>
            </w:r>
            <w:r>
              <w:rPr>
                <w:rFonts w:hint="eastAsia" w:ascii="宋体" w:hAnsi="宋体" w:cs="宋体"/>
                <w:color w:val="auto"/>
                <w:kern w:val="0"/>
                <w:sz w:val="24"/>
              </w:rPr>
              <w:t>月1日以来（以合同签订日期为准），投标人承担过充电桩供货安装业绩案例，每个得1分，最多得</w:t>
            </w:r>
            <w:r>
              <w:rPr>
                <w:rFonts w:hint="eastAsia" w:ascii="宋体" w:hAnsi="宋体" w:cs="宋体"/>
                <w:color w:val="auto"/>
                <w:kern w:val="0"/>
                <w:sz w:val="24"/>
                <w:lang w:val="en-US" w:eastAsia="zh-CN"/>
              </w:rPr>
              <w:t>5</w:t>
            </w:r>
            <w:r>
              <w:rPr>
                <w:rFonts w:hint="eastAsia" w:ascii="宋体" w:hAnsi="宋体" w:cs="宋体"/>
                <w:color w:val="auto"/>
                <w:kern w:val="0"/>
                <w:sz w:val="24"/>
              </w:rPr>
              <w:t>分供销售合同复印件加盖公章。</w:t>
            </w:r>
          </w:p>
        </w:tc>
      </w:tr>
      <w:tr>
        <w:tblPrEx>
          <w:tblCellMar>
            <w:top w:w="0" w:type="dxa"/>
            <w:left w:w="108" w:type="dxa"/>
            <w:bottom w:w="0" w:type="dxa"/>
            <w:right w:w="108" w:type="dxa"/>
          </w:tblCellMar>
        </w:tblPrEx>
        <w:trPr>
          <w:trHeight w:val="1287" w:hRule="atLeast"/>
          <w:jc w:val="center"/>
        </w:trPr>
        <w:tc>
          <w:tcPr>
            <w:tcW w:w="9653"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color w:val="000000"/>
                <w:kern w:val="0"/>
                <w:sz w:val="24"/>
              </w:rPr>
            </w:pPr>
            <w:r>
              <w:rPr>
                <w:rFonts w:hint="eastAsia" w:ascii="宋体" w:hAnsi="宋体" w:cs="宋体"/>
                <w:b/>
                <w:color w:val="000000"/>
                <w:kern w:val="0"/>
                <w:sz w:val="24"/>
              </w:rPr>
              <w:t>注：上述材料为复印件的须加盖单位公章，同时提供原件备查，商务技术打分以商务技术标内的内容为准，原件仅在商务技术标内容存在字迹模糊、分辨不清等情形时予以查验。</w:t>
            </w:r>
          </w:p>
        </w:tc>
      </w:tr>
    </w:tbl>
    <w:p>
      <w:pPr>
        <w:spacing w:line="420" w:lineRule="exact"/>
        <w:ind w:firstLine="480" w:firstLineChars="200"/>
        <w:rPr>
          <w:rFonts w:ascii="宋体" w:hAnsi="宋体"/>
          <w:sz w:val="24"/>
        </w:rPr>
      </w:pPr>
      <w:r>
        <w:rPr>
          <w:rFonts w:hint="eastAsia" w:ascii="宋体" w:hAnsi="宋体"/>
          <w:sz w:val="24"/>
        </w:rPr>
        <w:t>3、投标报价（满分5</w:t>
      </w:r>
      <w:r>
        <w:rPr>
          <w:rFonts w:ascii="宋体" w:hAnsi="宋体"/>
          <w:sz w:val="24"/>
        </w:rPr>
        <w:t>0</w:t>
      </w:r>
      <w:r>
        <w:rPr>
          <w:rFonts w:hint="eastAsia" w:ascii="宋体" w:hAnsi="宋体"/>
          <w:sz w:val="24"/>
        </w:rPr>
        <w:t>分）</w:t>
      </w:r>
    </w:p>
    <w:p>
      <w:pPr>
        <w:spacing w:line="420" w:lineRule="exact"/>
        <w:ind w:firstLine="480" w:firstLineChars="200"/>
        <w:rPr>
          <w:rFonts w:ascii="宋体" w:hAnsi="宋体"/>
          <w:sz w:val="24"/>
        </w:rPr>
      </w:pPr>
      <w:r>
        <w:rPr>
          <w:rFonts w:ascii="宋体" w:hAnsi="宋体"/>
          <w:sz w:val="24"/>
        </w:rPr>
        <w:t>3</w:t>
      </w:r>
      <w:r>
        <w:rPr>
          <w:rFonts w:hint="eastAsia" w:ascii="宋体" w:hAnsi="宋体"/>
          <w:sz w:val="24"/>
        </w:rPr>
        <w:t>.1确定有效报价</w:t>
      </w:r>
    </w:p>
    <w:p>
      <w:pPr>
        <w:spacing w:line="420" w:lineRule="exact"/>
        <w:ind w:firstLine="480" w:firstLineChars="200"/>
        <w:rPr>
          <w:rFonts w:ascii="宋体" w:hAnsi="宋体"/>
          <w:sz w:val="24"/>
        </w:rPr>
      </w:pPr>
      <w:r>
        <w:rPr>
          <w:rFonts w:hint="eastAsia" w:ascii="宋体" w:hAnsi="宋体"/>
          <w:sz w:val="24"/>
        </w:rPr>
        <w:t>有效报价是指不低于成本价且不高于</w:t>
      </w:r>
      <w:r>
        <w:rPr>
          <w:rFonts w:hint="eastAsia" w:ascii="宋体" w:hAnsi="宋体"/>
          <w:sz w:val="24"/>
        </w:rPr>
        <w:t>最高投标限价（总价）</w:t>
      </w:r>
      <w:r>
        <w:rPr>
          <w:rFonts w:hint="eastAsia" w:ascii="宋体" w:hAnsi="宋体"/>
          <w:sz w:val="24"/>
          <w:lang w:eastAsia="zh-CN"/>
        </w:rPr>
        <w:t>、</w:t>
      </w:r>
      <w:r>
        <w:rPr>
          <w:rFonts w:hint="eastAsia" w:ascii="宋体" w:hAnsi="宋体"/>
          <w:sz w:val="24"/>
        </w:rPr>
        <w:t>每个分项（单价）限价</w:t>
      </w:r>
      <w:r>
        <w:rPr>
          <w:rFonts w:hint="eastAsia" w:ascii="宋体" w:hAnsi="宋体"/>
          <w:sz w:val="24"/>
        </w:rPr>
        <w:t>的投标报价，低于成本价或高于</w:t>
      </w:r>
      <w:r>
        <w:rPr>
          <w:rFonts w:hint="eastAsia" w:ascii="宋体" w:hAnsi="宋体"/>
          <w:sz w:val="24"/>
        </w:rPr>
        <w:t>最高投标限价（总价）</w:t>
      </w:r>
      <w:r>
        <w:rPr>
          <w:rFonts w:hint="eastAsia" w:ascii="宋体" w:hAnsi="宋体"/>
          <w:sz w:val="24"/>
          <w:lang w:eastAsia="zh-CN"/>
        </w:rPr>
        <w:t>、</w:t>
      </w:r>
      <w:r>
        <w:rPr>
          <w:rFonts w:hint="eastAsia" w:ascii="宋体" w:hAnsi="宋体"/>
          <w:sz w:val="24"/>
        </w:rPr>
        <w:t>每个分项（单价）限价</w:t>
      </w:r>
      <w:r>
        <w:rPr>
          <w:rFonts w:hint="eastAsia" w:ascii="宋体" w:hAnsi="宋体"/>
          <w:sz w:val="24"/>
        </w:rPr>
        <w:t>的投标报价视为无效报价。废标、无效报价不参与评标基准价的计算。</w:t>
      </w:r>
    </w:p>
    <w:p>
      <w:pPr>
        <w:spacing w:line="420" w:lineRule="exact"/>
        <w:ind w:firstLine="480" w:firstLineChars="200"/>
        <w:rPr>
          <w:rFonts w:ascii="宋体" w:hAnsi="宋体"/>
          <w:sz w:val="24"/>
        </w:rPr>
      </w:pPr>
      <w:r>
        <w:rPr>
          <w:rFonts w:ascii="宋体" w:hAnsi="宋体"/>
          <w:sz w:val="24"/>
        </w:rPr>
        <w:t>3</w:t>
      </w:r>
      <w:r>
        <w:rPr>
          <w:rFonts w:hint="eastAsia" w:ascii="宋体" w:hAnsi="宋体"/>
          <w:sz w:val="24"/>
        </w:rPr>
        <w:t>.2确定评标基准价</w:t>
      </w:r>
    </w:p>
    <w:p>
      <w:pPr>
        <w:spacing w:line="420" w:lineRule="exact"/>
        <w:ind w:firstLine="480" w:firstLineChars="200"/>
        <w:rPr>
          <w:rFonts w:ascii="宋体" w:hAnsi="宋体"/>
          <w:sz w:val="24"/>
        </w:rPr>
      </w:pPr>
      <w:r>
        <w:rPr>
          <w:rFonts w:hint="eastAsia" w:ascii="宋体" w:hAnsi="宋体"/>
          <w:sz w:val="24"/>
        </w:rPr>
        <w:t>评标基准价C=A×K</w:t>
      </w:r>
    </w:p>
    <w:p>
      <w:pPr>
        <w:spacing w:line="420" w:lineRule="exact"/>
        <w:ind w:firstLine="480" w:firstLineChars="200"/>
        <w:rPr>
          <w:rFonts w:ascii="宋体" w:hAnsi="宋体"/>
          <w:sz w:val="24"/>
        </w:rPr>
      </w:pPr>
      <w:r>
        <w:rPr>
          <w:rFonts w:hint="eastAsia" w:ascii="宋体" w:hAnsi="宋体"/>
          <w:sz w:val="24"/>
        </w:rPr>
        <w:t>A为有效投标文件的评标价算术平均值（若7≤有效投标文件&lt;10 家时，去掉其中的一个最高价和一个最低价后取算术平均值；若有效投标文件≥10 家时，去掉其中的二个最高价和二个最低价后取算术平均值）。</w:t>
      </w:r>
    </w:p>
    <w:p>
      <w:pPr>
        <w:spacing w:line="420" w:lineRule="exact"/>
        <w:ind w:firstLine="480" w:firstLineChars="200"/>
        <w:rPr>
          <w:rFonts w:ascii="宋体" w:hAnsi="宋体"/>
          <w:sz w:val="24"/>
        </w:rPr>
      </w:pPr>
      <w:r>
        <w:rPr>
          <w:rFonts w:ascii="宋体" w:hAnsi="宋体"/>
          <w:sz w:val="24"/>
        </w:rPr>
        <w:t>K取值为：</w:t>
      </w:r>
      <w:r>
        <w:rPr>
          <w:rFonts w:hint="eastAsia" w:ascii="宋体" w:hAnsi="宋体"/>
          <w:sz w:val="24"/>
        </w:rPr>
        <w:t>95%、96%、97%、98%，开标时由招标人代表按随机抽取确定。</w:t>
      </w:r>
    </w:p>
    <w:p>
      <w:pPr>
        <w:spacing w:line="420" w:lineRule="exact"/>
        <w:ind w:firstLine="480" w:firstLineChars="200"/>
        <w:rPr>
          <w:rFonts w:ascii="宋体" w:hAnsi="宋体"/>
          <w:sz w:val="24"/>
        </w:rPr>
      </w:pPr>
      <w:r>
        <w:rPr>
          <w:rFonts w:hint="eastAsia" w:ascii="宋体" w:hAnsi="宋体"/>
          <w:sz w:val="24"/>
        </w:rPr>
        <w:t>评标委员会在评标报告上签字后，除确认存在计算错误外，评标基准价不因招投标当事人质疑、投诉、复议以及其它任何情形而改变。</w:t>
      </w:r>
    </w:p>
    <w:p>
      <w:pPr>
        <w:spacing w:line="420" w:lineRule="exact"/>
        <w:ind w:firstLine="480" w:firstLineChars="200"/>
        <w:rPr>
          <w:rFonts w:ascii="宋体" w:hAnsi="宋体"/>
          <w:sz w:val="24"/>
        </w:rPr>
      </w:pPr>
      <w:r>
        <w:rPr>
          <w:rFonts w:ascii="宋体" w:hAnsi="宋体"/>
          <w:sz w:val="24"/>
        </w:rPr>
        <w:t>3</w:t>
      </w:r>
      <w:r>
        <w:rPr>
          <w:rFonts w:hint="eastAsia" w:ascii="宋体" w:hAnsi="宋体"/>
          <w:sz w:val="24"/>
        </w:rPr>
        <w:t>.3计算投标报价得分</w:t>
      </w:r>
    </w:p>
    <w:p>
      <w:pPr>
        <w:spacing w:line="420" w:lineRule="exact"/>
        <w:ind w:firstLine="480" w:firstLineChars="200"/>
        <w:rPr>
          <w:rFonts w:ascii="宋体" w:hAnsi="宋体"/>
          <w:sz w:val="24"/>
        </w:rPr>
      </w:pPr>
      <w:r>
        <w:rPr>
          <w:rFonts w:hint="eastAsia" w:ascii="宋体" w:hAnsi="宋体"/>
          <w:sz w:val="24"/>
        </w:rPr>
        <w:t>投标报价等于评标基准价的得5</w:t>
      </w:r>
      <w:r>
        <w:rPr>
          <w:rFonts w:ascii="宋体" w:hAnsi="宋体"/>
          <w:sz w:val="24"/>
        </w:rPr>
        <w:t>0</w:t>
      </w:r>
      <w:r>
        <w:rPr>
          <w:rFonts w:hint="eastAsia" w:ascii="宋体" w:hAnsi="宋体"/>
          <w:sz w:val="24"/>
        </w:rPr>
        <w:t>分，投标报价与评标基准价相比，每上浮1%扣0.5分，每下浮1%扣0.3分；偏离不足1%的，按照插入法计算得分，评分过程中的偏离率和分值计算结果均保留两位小数，第三位四舍五入。</w:t>
      </w:r>
    </w:p>
    <w:p>
      <w:pPr>
        <w:spacing w:line="420" w:lineRule="exact"/>
        <w:ind w:firstLine="480" w:firstLineChars="200"/>
        <w:rPr>
          <w:rFonts w:ascii="宋体" w:hAnsi="宋体"/>
          <w:sz w:val="24"/>
        </w:rPr>
      </w:pPr>
      <w:r>
        <w:rPr>
          <w:rFonts w:ascii="宋体" w:hAnsi="宋体"/>
          <w:sz w:val="24"/>
        </w:rPr>
        <w:t>4</w:t>
      </w:r>
      <w:r>
        <w:rPr>
          <w:rFonts w:hint="eastAsia" w:ascii="宋体" w:hAnsi="宋体"/>
          <w:sz w:val="24"/>
        </w:rPr>
        <w:t>、推荐</w:t>
      </w:r>
      <w:r>
        <w:rPr>
          <w:rFonts w:ascii="宋体" w:hAnsi="宋体"/>
          <w:sz w:val="24"/>
        </w:rPr>
        <w:t>中标候选人</w:t>
      </w:r>
    </w:p>
    <w:p>
      <w:pPr>
        <w:spacing w:line="420" w:lineRule="exact"/>
        <w:ind w:firstLine="480" w:firstLineChars="200"/>
        <w:rPr>
          <w:rFonts w:ascii="宋体" w:hAnsi="宋体" w:cs="宋体"/>
          <w:sz w:val="24"/>
        </w:rPr>
      </w:pPr>
      <w:r>
        <w:rPr>
          <w:rFonts w:hint="eastAsia" w:ascii="宋体" w:hAnsi="宋体" w:cs="宋体"/>
          <w:sz w:val="24"/>
        </w:rPr>
        <w:t>各投标人综合得分=商务技术标得分+投标报价得分。</w:t>
      </w:r>
    </w:p>
    <w:p>
      <w:pPr>
        <w:spacing w:line="420" w:lineRule="exact"/>
        <w:ind w:firstLine="480" w:firstLineChars="200"/>
        <w:rPr>
          <w:rFonts w:ascii="宋体" w:hAnsi="宋体" w:cs="宋体"/>
          <w:sz w:val="24"/>
        </w:rPr>
      </w:pPr>
      <w:r>
        <w:rPr>
          <w:rFonts w:hint="eastAsia" w:ascii="宋体" w:hAnsi="宋体" w:cs="宋体"/>
          <w:sz w:val="24"/>
        </w:rPr>
        <w:t>本次评标采用综合评估法。评标委员会对满足招标文件实质性要求的投标文件，按照本章规定的评分标准进行打分，并按得分由高到低顺序推荐中标候选人。综合评分相等时，以投标报价低的优先；投标报价也相等的，由招标人采用抽签的方式确定。</w:t>
      </w:r>
    </w:p>
    <w:p>
      <w:pPr>
        <w:spacing w:line="420" w:lineRule="exact"/>
        <w:ind w:firstLine="480" w:firstLineChars="200"/>
        <w:rPr>
          <w:rFonts w:ascii="宋体" w:hAnsi="宋体" w:cs="宋体"/>
          <w:sz w:val="24"/>
        </w:rPr>
      </w:pPr>
      <w:r>
        <w:rPr>
          <w:rFonts w:hint="eastAsia" w:ascii="宋体" w:hAnsi="宋体" w:cs="宋体"/>
          <w:sz w:val="24"/>
        </w:rPr>
        <w:t>评标委员会在推荐中标候选人时，应遵照以下原则:</w:t>
      </w:r>
    </w:p>
    <w:p>
      <w:pPr>
        <w:spacing w:line="420" w:lineRule="exact"/>
        <w:ind w:firstLine="480" w:firstLineChars="200"/>
        <w:rPr>
          <w:rFonts w:ascii="宋体" w:hAnsi="宋体" w:cs="宋体"/>
          <w:sz w:val="24"/>
        </w:rPr>
      </w:pPr>
      <w:r>
        <w:rPr>
          <w:rFonts w:hint="eastAsia" w:ascii="宋体" w:hAnsi="宋体" w:cs="宋体"/>
          <w:sz w:val="24"/>
        </w:rPr>
        <w:t>(1)评标委员会按照综合得分由高至低的次序排列，并根据投标人须知前附表规定的中标候选人数量，将排序在前的投标人推荐为中标候选人。</w:t>
      </w:r>
    </w:p>
    <w:p>
      <w:pPr>
        <w:spacing w:line="420" w:lineRule="exact"/>
        <w:ind w:firstLine="480" w:firstLineChars="200"/>
        <w:rPr>
          <w:rFonts w:ascii="宋体" w:hAnsi="宋体" w:cs="宋体"/>
          <w:sz w:val="24"/>
        </w:rPr>
      </w:pPr>
      <w:r>
        <w:rPr>
          <w:rFonts w:hint="eastAsia" w:ascii="宋体" w:hAnsi="宋体" w:cs="宋体"/>
          <w:sz w:val="24"/>
        </w:rPr>
        <w:t>(2)如果评标委员会根据招标文件的规定作废标处理后，有效投标不足三个，且少于投标人须知前附表规定的中标候选人数量的，则评标委员会可以将所有有效投标按综合得分由高至低的次序作为中标候选人向招标人推荐。如果因有效投标不足三个使得投标明显缺乏竞争的，评标委员会可以否决全部投标。</w:t>
      </w:r>
    </w:p>
    <w:p>
      <w:pPr>
        <w:spacing w:line="420" w:lineRule="exact"/>
        <w:ind w:firstLine="480" w:firstLineChars="200"/>
        <w:rPr>
          <w:rFonts w:ascii="宋体" w:hAnsi="宋体" w:cs="宋体"/>
          <w:sz w:val="24"/>
        </w:rPr>
      </w:pPr>
      <w:r>
        <w:rPr>
          <w:rFonts w:hint="eastAsia" w:ascii="宋体" w:hAnsi="宋体" w:cs="宋体"/>
          <w:sz w:val="24"/>
        </w:rPr>
        <w:t>本工程第一中标候选人原则上为中标人。当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420" w:lineRule="exact"/>
        <w:ind w:firstLine="480" w:firstLineChars="200"/>
        <w:rPr>
          <w:rFonts w:ascii="宋体" w:hAnsi="宋体" w:cs="宋体"/>
          <w:sz w:val="24"/>
        </w:rPr>
      </w:pPr>
      <w:r>
        <w:rPr>
          <w:rFonts w:ascii="宋体" w:hAnsi="宋体" w:cs="宋体"/>
          <w:sz w:val="24"/>
        </w:rPr>
        <w:t>5</w:t>
      </w:r>
      <w:r>
        <w:rPr>
          <w:rFonts w:hint="eastAsia" w:ascii="宋体" w:hAnsi="宋体" w:cs="宋体"/>
          <w:sz w:val="24"/>
        </w:rPr>
        <w:t>、评标过程如遇特殊情况，评标委员会具有最终解释权。</w:t>
      </w:r>
    </w:p>
    <w:p>
      <w:pPr>
        <w:pStyle w:val="21"/>
        <w:rPr>
          <w:rFonts w:ascii="宋体" w:hAnsi="宋体"/>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spacing w:line="420" w:lineRule="exact"/>
        <w:ind w:firstLine="482" w:firstLineChars="200"/>
        <w:rPr>
          <w:rFonts w:ascii="宋体" w:hAnsi="宋体" w:cs="宋体"/>
          <w:b/>
          <w:bCs/>
          <w:sz w:val="24"/>
        </w:rPr>
      </w:pPr>
    </w:p>
    <w:p>
      <w:pPr>
        <w:spacing w:line="420" w:lineRule="exact"/>
        <w:ind w:firstLine="482" w:firstLineChars="200"/>
        <w:rPr>
          <w:rFonts w:ascii="宋体" w:hAnsi="宋体" w:cs="宋体"/>
          <w:b/>
          <w:bCs/>
          <w:sz w:val="24"/>
        </w:rPr>
      </w:pPr>
    </w:p>
    <w:p>
      <w:pPr>
        <w:spacing w:line="420" w:lineRule="exact"/>
        <w:ind w:firstLine="482" w:firstLineChars="200"/>
        <w:rPr>
          <w:rFonts w:ascii="宋体" w:hAnsi="宋体" w:cs="宋体"/>
          <w:b/>
          <w:bCs/>
          <w:sz w:val="24"/>
        </w:rPr>
      </w:pPr>
    </w:p>
    <w:p>
      <w:pPr>
        <w:pStyle w:val="4"/>
        <w:spacing w:before="120" w:after="120" w:line="360" w:lineRule="auto"/>
        <w:rPr>
          <w:rFonts w:ascii="宋体" w:hAnsi="宋体" w:cs="宋体"/>
        </w:rPr>
      </w:pPr>
      <w:bookmarkStart w:id="472" w:name="_Toc508918299"/>
      <w:r>
        <w:rPr>
          <w:rFonts w:hint="eastAsia" w:ascii="宋体" w:hAnsi="宋体" w:cs="宋体"/>
        </w:rPr>
        <w:t>第四章 合同条款及格式</w:t>
      </w:r>
      <w:bookmarkEnd w:id="460"/>
      <w:bookmarkEnd w:id="461"/>
      <w:bookmarkEnd w:id="462"/>
      <w:bookmarkEnd w:id="463"/>
      <w:bookmarkEnd w:id="464"/>
      <w:bookmarkEnd w:id="465"/>
      <w:bookmarkEnd w:id="466"/>
      <w:bookmarkEnd w:id="467"/>
      <w:bookmarkEnd w:id="468"/>
      <w:bookmarkEnd w:id="469"/>
      <w:bookmarkEnd w:id="470"/>
      <w:bookmarkEnd w:id="471"/>
      <w:bookmarkEnd w:id="472"/>
    </w:p>
    <w:p>
      <w:pPr>
        <w:adjustRightInd w:val="0"/>
        <w:snapToGrid w:val="0"/>
        <w:spacing w:line="360" w:lineRule="auto"/>
        <w:ind w:firstLine="880" w:firstLineChars="200"/>
        <w:jc w:val="center"/>
        <w:textAlignment w:val="baseline"/>
        <w:rPr>
          <w:rFonts w:ascii="方正大标宋_GBK" w:hAnsi="方正大标宋_GBK" w:eastAsia="方正大标宋_GBK" w:cs="方正大标宋_GBK"/>
          <w:bCs/>
          <w:sz w:val="44"/>
          <w:szCs w:val="44"/>
        </w:rPr>
      </w:pPr>
      <w:bookmarkStart w:id="473" w:name="_Toc508918148"/>
      <w:bookmarkStart w:id="474" w:name="_Toc9724"/>
      <w:bookmarkStart w:id="475" w:name="_Toc7525"/>
      <w:bookmarkStart w:id="476" w:name="_Toc508918374"/>
      <w:r>
        <w:rPr>
          <w:rFonts w:hint="eastAsia" w:ascii="方正大标宋_GBK" w:hAnsi="方正大标宋_GBK" w:eastAsia="方正大标宋_GBK" w:cs="方正大标宋_GBK"/>
          <w:bCs/>
          <w:sz w:val="44"/>
          <w:szCs w:val="44"/>
        </w:rPr>
        <w:t>货物采购合同</w:t>
      </w:r>
    </w:p>
    <w:p>
      <w:pPr>
        <w:adjustRightInd w:val="0"/>
        <w:snapToGrid w:val="0"/>
        <w:spacing w:line="360" w:lineRule="auto"/>
        <w:ind w:firstLine="562" w:firstLineChars="200"/>
        <w:textAlignment w:val="baseline"/>
        <w:rPr>
          <w:rFonts w:asciiTheme="minorEastAsia" w:hAnsiTheme="minorEastAsia" w:eastAsiaTheme="minorEastAsia" w:cstheme="minorEastAsia"/>
          <w:b/>
          <w:sz w:val="28"/>
          <w:szCs w:val="28"/>
        </w:rPr>
      </w:pPr>
    </w:p>
    <w:p>
      <w:pPr>
        <w:adjustRightInd w:val="0"/>
        <w:snapToGrid w:val="0"/>
        <w:spacing w:line="360" w:lineRule="auto"/>
        <w:ind w:firstLine="562" w:firstLineChars="200"/>
        <w:textAlignment w:val="baseline"/>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采购单位：</w:t>
      </w:r>
      <w:r>
        <w:rPr>
          <w:rFonts w:hint="eastAsia" w:asciiTheme="minorEastAsia" w:hAnsiTheme="minorEastAsia" w:eastAsiaTheme="minorEastAsia" w:cstheme="minorEastAsia"/>
          <w:b/>
          <w:sz w:val="28"/>
          <w:szCs w:val="28"/>
          <w:u w:val="single"/>
          <w:lang w:val="en-US" w:eastAsia="zh-CN"/>
        </w:rPr>
        <w:t xml:space="preserve">                         </w:t>
      </w:r>
      <w:r>
        <w:rPr>
          <w:rFonts w:hint="eastAsia" w:asciiTheme="minorEastAsia" w:hAnsiTheme="minorEastAsia" w:eastAsiaTheme="minorEastAsia" w:cstheme="minorEastAsia"/>
          <w:sz w:val="28"/>
          <w:szCs w:val="28"/>
        </w:rPr>
        <w:t>（以下简称甲方）</w:t>
      </w:r>
    </w:p>
    <w:p>
      <w:pPr>
        <w:adjustRightInd w:val="0"/>
        <w:snapToGrid w:val="0"/>
        <w:spacing w:line="360" w:lineRule="auto"/>
        <w:ind w:firstLine="562" w:firstLineChars="200"/>
        <w:textAlignment w:val="baseline"/>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b/>
          <w:sz w:val="28"/>
          <w:szCs w:val="28"/>
        </w:rPr>
        <w:t>供货单位：</w:t>
      </w:r>
      <w:r>
        <w:rPr>
          <w:rFonts w:hint="eastAsia" w:asciiTheme="minorEastAsia" w:hAnsiTheme="minorEastAsia" w:eastAsiaTheme="minorEastAsia" w:cstheme="minorEastAsia"/>
          <w:b/>
          <w:sz w:val="28"/>
          <w:szCs w:val="28"/>
          <w:u w:val="single"/>
        </w:rPr>
        <w:t xml:space="preserve">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（以下简称乙方）</w:t>
      </w:r>
    </w:p>
    <w:p>
      <w:pPr>
        <w:adjustRightInd w:val="0"/>
        <w:snapToGrid w:val="0"/>
        <w:spacing w:line="360" w:lineRule="auto"/>
        <w:ind w:firstLine="420" w:firstLineChars="200"/>
        <w:textAlignment w:val="baseline"/>
        <w:rPr>
          <w:rFonts w:asciiTheme="minorEastAsia" w:hAnsiTheme="minorEastAsia" w:eastAsiaTheme="minorEastAsia" w:cstheme="minorEastAsia"/>
          <w:szCs w:val="21"/>
        </w:rPr>
      </w:pP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根据《中华人民共和国民法典》及其他有关法律规定，遵循平等、自愿、公平和诚实信用的原则，双方就</w:t>
      </w:r>
      <w:r>
        <w:rPr>
          <w:rFonts w:hint="eastAsia" w:asciiTheme="minorEastAsia" w:hAnsiTheme="minorEastAsia" w:eastAsiaTheme="minorEastAsia" w:cstheme="minorEastAsia"/>
          <w:sz w:val="24"/>
          <w:u w:val="single"/>
        </w:rPr>
        <w:t>B大道以北、湖东路以东地块(暂定名金融商务中心启动区）充电桩采购及安装</w:t>
      </w:r>
      <w:r>
        <w:rPr>
          <w:rFonts w:hint="eastAsia" w:asciiTheme="minorEastAsia" w:hAnsiTheme="minorEastAsia" w:eastAsiaTheme="minorEastAsia" w:cstheme="minorEastAsia"/>
          <w:sz w:val="24"/>
        </w:rPr>
        <w:t>及有关事项协商一致，订立本合同。</w:t>
      </w:r>
    </w:p>
    <w:p>
      <w:pPr>
        <w:adjustRightInd w:val="0"/>
        <w:snapToGrid w:val="0"/>
        <w:spacing w:line="360" w:lineRule="auto"/>
        <w:ind w:firstLine="482" w:firstLineChars="200"/>
        <w:textAlignment w:val="baseline"/>
        <w:outlineLvl w:val="1"/>
        <w:rPr>
          <w:rFonts w:asciiTheme="minorEastAsia" w:hAnsiTheme="minorEastAsia" w:eastAsiaTheme="minorEastAsia" w:cstheme="minorEastAsia"/>
          <w:b/>
          <w:sz w:val="24"/>
        </w:rPr>
      </w:pPr>
      <w:bookmarkStart w:id="477" w:name="_Toc416265829"/>
      <w:bookmarkStart w:id="478" w:name="_Toc360696054"/>
      <w:bookmarkStart w:id="479" w:name="_Toc416264711"/>
      <w:r>
        <w:rPr>
          <w:rFonts w:hint="eastAsia" w:asciiTheme="minorEastAsia" w:hAnsiTheme="minorEastAsia" w:eastAsiaTheme="minorEastAsia" w:cstheme="minorEastAsia"/>
          <w:b/>
          <w:sz w:val="24"/>
        </w:rPr>
        <w:t>第一条 采购清单</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详见附件。</w:t>
      </w:r>
      <w:bookmarkEnd w:id="477"/>
      <w:bookmarkEnd w:id="478"/>
      <w:bookmarkEnd w:id="479"/>
    </w:p>
    <w:p>
      <w:pPr>
        <w:adjustRightInd w:val="0"/>
        <w:snapToGrid w:val="0"/>
        <w:spacing w:line="360" w:lineRule="auto"/>
        <w:ind w:firstLine="482" w:firstLineChars="200"/>
        <w:textAlignment w:val="baseline"/>
        <w:outlineLvl w:val="1"/>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第二条 工期及交货地点</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2.1工期：</w:t>
      </w:r>
      <w:r>
        <w:rPr>
          <w:rFonts w:hint="eastAsia" w:ascii="宋体" w:hAnsi="宋体" w:cs="宋体"/>
          <w:kern w:val="0"/>
          <w:sz w:val="24"/>
        </w:rPr>
        <w:t>60日历天；计划开工日期：2024年5月，计划竣工日期：2024年7月。</w:t>
      </w:r>
    </w:p>
    <w:p>
      <w:pPr>
        <w:widowControl/>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2.2交货地点：</w:t>
      </w:r>
      <w:r>
        <w:rPr>
          <w:rFonts w:hint="eastAsia" w:asciiTheme="minorEastAsia" w:hAnsiTheme="minorEastAsia" w:eastAsiaTheme="minorEastAsia" w:cstheme="minorEastAsia"/>
          <w:sz w:val="24"/>
          <w:u w:val="single"/>
        </w:rPr>
        <w:t>B大道以北、湖东路以东地块(暂定名金融商务中心启动区）现场</w:t>
      </w:r>
      <w:r>
        <w:rPr>
          <w:rFonts w:hint="eastAsia" w:asciiTheme="minorEastAsia" w:hAnsiTheme="minorEastAsia" w:eastAsiaTheme="minorEastAsia" w:cstheme="minorEastAsia"/>
          <w:sz w:val="24"/>
        </w:rPr>
        <w:t>，具体按甲方指定地点送货。</w:t>
      </w:r>
    </w:p>
    <w:p>
      <w:pPr>
        <w:widowControl/>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2.3暂停生产</w:t>
      </w:r>
    </w:p>
    <w:p>
      <w:pPr>
        <w:widowControl/>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甲方认为确有必要暂停生产时，应当以书面形式要求乙方全部或局部暂停生产，并在提出要求后48小时内提出书面处理意见。乙方应当按甲方要求停止生产，并妥善保护已完设备直至甲方进一步的指令。因乙方原因造成停产的，由乙方承担发生的费用，工期不予顺延。因甲方原因造成停产的，甲方不承担乙方因暂停生产造成的损失，但工期可以相应顺延。</w:t>
      </w:r>
    </w:p>
    <w:p>
      <w:pPr>
        <w:adjustRightInd w:val="0"/>
        <w:snapToGrid w:val="0"/>
        <w:spacing w:line="360" w:lineRule="auto"/>
        <w:ind w:firstLine="482" w:firstLineChars="200"/>
        <w:textAlignment w:val="baseline"/>
        <w:outlineLvl w:val="1"/>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第三条 合同价款</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3.1本合同暂定总价为</w:t>
      </w:r>
      <w:r>
        <w:rPr>
          <w:rFonts w:hint="eastAsia" w:asciiTheme="minorEastAsia" w:hAnsiTheme="minorEastAsia" w:eastAsiaTheme="minorEastAsia" w:cstheme="minorEastAsia"/>
          <w:sz w:val="24"/>
          <w:u w:val="single"/>
        </w:rPr>
        <w:t>人民币           元（¥：</w:t>
      </w:r>
      <w:r>
        <w:rPr>
          <w:rFonts w:hint="eastAsia" w:asciiTheme="minorEastAsia" w:hAnsiTheme="minorEastAsia" w:eastAsiaTheme="minorEastAsia" w:cstheme="minorEastAsia"/>
          <w:b/>
          <w:sz w:val="24"/>
          <w:u w:val="single"/>
        </w:rPr>
        <w:t xml:space="preserve">          </w:t>
      </w:r>
      <w:r>
        <w:rPr>
          <w:rFonts w:hint="eastAsia" w:asciiTheme="minorEastAsia" w:hAnsiTheme="minorEastAsia" w:eastAsiaTheme="minorEastAsia" w:cstheme="minorEastAsia"/>
          <w:sz w:val="24"/>
          <w:u w:val="single"/>
        </w:rPr>
        <w:t>元）</w:t>
      </w:r>
      <w:r>
        <w:rPr>
          <w:rFonts w:hint="eastAsia" w:asciiTheme="minorEastAsia" w:hAnsiTheme="minorEastAsia" w:eastAsiaTheme="minorEastAsia" w:cstheme="minorEastAsia"/>
          <w:sz w:val="24"/>
        </w:rPr>
        <w:t>，增值税专用发票税率为：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%，其中不含税价款¥</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元，人民币大写：</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元，增值税税费为¥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元，人民币大写：</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元 。合同单价分项价表详见附件，数量为暂估，最终以实际安装数量为准。</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合同价至少包括但不限于：深化设计费、材料费（含主材、辅材、必备的配件、质保期内所需要的备品备件、专用工具等）、生产制作费、机械使用费、劳务费、管理费、包装费、运输费（包含货物加工地至施工现场、施工现场水平及垂直运输费等）、装卸费（含上下力资费）、二次搬运费、安装费、现场测量、损耗费、样品费、保险费、保洁、成品保护费、抽样检测、服务费（包括设计、调试以及安装完毕后对相关人员的技术指导、培训等）、措施费、风险费（政策性文件规定及本合同包含的所有风险）、验收配合、售后服务费、利润和税金、技术指导和培训、质保期内的维护保养费等全部费用。</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乙方在签订本合同前对本工程的全部图纸、技术要求及说明、质量标准、招标文件、合同条件、本工程的现场条件及周围环境、交通道路、现场管理要求等已详细研究并完全明确，在合同价款中已予以充分考虑。</w:t>
      </w:r>
    </w:p>
    <w:p>
      <w:pPr>
        <w:widowControl/>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3.3本合同价格形式为</w:t>
      </w:r>
      <w:r>
        <w:rPr>
          <w:rFonts w:hint="eastAsia" w:ascii="Calibri" w:hAnsi="Calibri"/>
          <w:sz w:val="24"/>
          <w:szCs w:val="20"/>
        </w:rPr>
        <w:t>固定综合单价</w:t>
      </w:r>
      <w:r>
        <w:rPr>
          <w:rFonts w:hint="eastAsia" w:asciiTheme="minorEastAsia" w:hAnsiTheme="minorEastAsia" w:eastAsiaTheme="minorEastAsia" w:cstheme="minorEastAsia"/>
          <w:sz w:val="24"/>
        </w:rPr>
        <w:t>，该价格在合同履行过程中不因劳务或材料价格涨跌、国家地方政策改变，或其它因素变化而进行调整。</w:t>
      </w:r>
    </w:p>
    <w:p>
      <w:pPr>
        <w:adjustRightInd w:val="0"/>
        <w:snapToGrid w:val="0"/>
        <w:spacing w:line="360" w:lineRule="auto"/>
        <w:ind w:firstLine="482" w:firstLineChars="200"/>
        <w:textAlignment w:val="baseline"/>
        <w:outlineLvl w:val="1"/>
        <w:rPr>
          <w:rFonts w:asciiTheme="minorEastAsia" w:hAnsiTheme="minorEastAsia" w:eastAsiaTheme="minorEastAsia" w:cstheme="minorEastAsia"/>
          <w:b/>
          <w:sz w:val="24"/>
        </w:rPr>
      </w:pPr>
      <w:bookmarkStart w:id="480" w:name="_Toc416265833"/>
      <w:bookmarkStart w:id="481" w:name="_Toc416264715"/>
      <w:bookmarkStart w:id="482" w:name="_Toc360696059"/>
      <w:r>
        <w:rPr>
          <w:rFonts w:hint="eastAsia" w:asciiTheme="minorEastAsia" w:hAnsiTheme="minorEastAsia" w:eastAsiaTheme="minorEastAsia" w:cstheme="minorEastAsia"/>
          <w:b/>
          <w:sz w:val="24"/>
        </w:rPr>
        <w:t xml:space="preserve">第四条 </w:t>
      </w:r>
      <w:bookmarkEnd w:id="480"/>
      <w:bookmarkEnd w:id="481"/>
      <w:bookmarkEnd w:id="482"/>
      <w:r>
        <w:rPr>
          <w:rFonts w:hint="eastAsia" w:asciiTheme="minorEastAsia" w:hAnsiTheme="minorEastAsia" w:eastAsiaTheme="minorEastAsia" w:cstheme="minorEastAsia"/>
          <w:b/>
          <w:sz w:val="24"/>
        </w:rPr>
        <w:t>付款方式</w:t>
      </w:r>
    </w:p>
    <w:p>
      <w:pPr>
        <w:adjustRightInd w:val="0"/>
        <w:snapToGrid w:val="0"/>
        <w:spacing w:line="360" w:lineRule="auto"/>
        <w:ind w:firstLine="480" w:firstLineChars="200"/>
        <w:jc w:val="left"/>
        <w:textAlignment w:val="baseline"/>
        <w:rPr>
          <w:rFonts w:asciiTheme="minorEastAsia" w:hAnsiTheme="minorEastAsia" w:eastAsiaTheme="minorEastAsia" w:cstheme="minorEastAsia"/>
          <w:sz w:val="24"/>
        </w:rPr>
      </w:pPr>
      <w:bookmarkStart w:id="483" w:name="_Toc416265834"/>
      <w:bookmarkStart w:id="484" w:name="_Toc360696060"/>
      <w:bookmarkStart w:id="485" w:name="_Toc416264716"/>
      <w:r>
        <w:rPr>
          <w:rFonts w:hint="eastAsia" w:asciiTheme="minorEastAsia" w:hAnsiTheme="minorEastAsia" w:eastAsiaTheme="minorEastAsia" w:cstheme="minorEastAsia"/>
          <w:kern w:val="0"/>
          <w:sz w:val="24"/>
        </w:rPr>
        <w:t>4.</w:t>
      </w:r>
      <w:r>
        <w:rPr>
          <w:rFonts w:hint="eastAsia" w:asciiTheme="minorEastAsia" w:hAnsiTheme="minorEastAsia" w:eastAsiaTheme="minorEastAsia" w:cstheme="minorEastAsia"/>
          <w:sz w:val="24"/>
        </w:rPr>
        <w:t>1本合同付款应按下列方式进行：</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4.1.1履约保证金：乙方收到中标通知书后10天内向甲方提交合同履约保证金(履约保证金为合同价格的</w:t>
      </w:r>
      <w:r>
        <w:rPr>
          <w:rFonts w:hint="eastAsia" w:asciiTheme="minorEastAsia" w:hAnsiTheme="minorEastAsia" w:eastAsiaTheme="minorEastAsia" w:cstheme="minorEastAsia"/>
          <w:sz w:val="24"/>
          <w:u w:val="single"/>
        </w:rPr>
        <w:t xml:space="preserve"> 5 </w:t>
      </w:r>
      <w:r>
        <w:rPr>
          <w:rFonts w:hint="eastAsia" w:asciiTheme="minorEastAsia" w:hAnsiTheme="minorEastAsia" w:eastAsiaTheme="minorEastAsia" w:cstheme="minorEastAsia"/>
          <w:sz w:val="24"/>
        </w:rPr>
        <w:t>%)。履约保证金采用转帐或企业基本账户开具的银行保函提交。</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4.1.2本项目货物全部安装完成并验收合格后支付至合同金额的70%；</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4.1.3乙方提交完整的竣工结算资料，经甲方委托的第三方造价咨询单位审核，出具审计报告并经双方确认后，累计付至结算审计价的97%；</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4.1.4余款3%作为质量保证金，待质保期两年满且无质量问题、并经甲方确认后一次性付清（以上付款均不计息）。</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4.2每次申请货款时需按照增值税相关规定，同时提供税率为13%的增值税专用发票(如乙方不能提供税率为13%的增值税专用发票的，则在结算时其对应货款结算价=（对应货物投标报价/1.13）*(1+对应发票税率）。</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4.3乙方必须保证甲方支付的货款项全部用于本工程的供货。</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4.4乙方不得因拖欠材料商货款而影响供货进度或质量，否则乙方除承担违约责任外，并同意甲方直接向材料商支付欠款，且所支付欠款从乙方的货款中扣除。</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4.5乙方同意按合同规定向甲方承担应承担的各项违约金，同意甲方在应付的货款中抵扣，但甲方</w:t>
      </w:r>
      <w:r>
        <w:rPr>
          <w:rFonts w:hint="eastAsia" w:asciiTheme="minorEastAsia" w:hAnsiTheme="minorEastAsia" w:eastAsiaTheme="minorEastAsia" w:cstheme="minorEastAsia"/>
          <w:sz w:val="24"/>
          <w:lang w:eastAsia="zh-Hans"/>
        </w:rPr>
        <w:t>或授权的监理单位</w:t>
      </w:r>
      <w:r>
        <w:rPr>
          <w:rFonts w:hint="eastAsia" w:asciiTheme="minorEastAsia" w:hAnsiTheme="minorEastAsia" w:eastAsiaTheme="minorEastAsia" w:cstheme="minorEastAsia"/>
          <w:sz w:val="24"/>
        </w:rPr>
        <w:t>应以联系单的形式通知乙方。</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4.6所有供货付款必须经甲方项目负责人签发付款证书后甲方才予以支付。</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4.7实际完成供货量小于合同价时，以实际供货量为付款基数。</w:t>
      </w:r>
    </w:p>
    <w:p>
      <w:pPr>
        <w:adjustRightInd w:val="0"/>
        <w:snapToGrid w:val="0"/>
        <w:spacing w:line="360" w:lineRule="auto"/>
        <w:ind w:firstLine="480" w:firstLineChars="200"/>
        <w:textAlignment w:val="baseline"/>
        <w:outlineLvl w:val="1"/>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4.8</w:t>
      </w:r>
      <w:r>
        <w:rPr>
          <w:rFonts w:hint="eastAsia" w:asciiTheme="minorEastAsia" w:hAnsiTheme="minorEastAsia" w:eastAsiaTheme="minorEastAsia" w:cstheme="minorEastAsia"/>
          <w:kern w:val="0"/>
          <w:sz w:val="24"/>
        </w:rPr>
        <w:t>本工程以甲方委托的第三方审计机构的审计结果作为货款结算和支付依据，如南通市政府财政或审计部门在检查或审计过程中发现审计机构的审计结果有误，则以南通市政府财政或审计部门的审计结果作为最终结算价，甲方已支付的货款（含进度款）超过结算价相应比例的部分，乙方无条件同意甲方在未付的货款中直接扣除超支部分及按银行同期贷款利率计算的利息，未支付的货款中不足以完全覆盖前述退款及利息的或乙方已经付清货款的，乙方应在甲方发出退款通知的10日内向甲方支付退款及利息。</w:t>
      </w:r>
    </w:p>
    <w:p>
      <w:pPr>
        <w:adjustRightInd w:val="0"/>
        <w:snapToGrid w:val="0"/>
        <w:spacing w:line="360" w:lineRule="auto"/>
        <w:ind w:firstLine="482" w:firstLineChars="200"/>
        <w:textAlignment w:val="baseline"/>
        <w:outlineLvl w:val="1"/>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 xml:space="preserve">第五条 质量标准    </w:t>
      </w:r>
      <w:bookmarkEnd w:id="483"/>
      <w:bookmarkEnd w:id="484"/>
      <w:bookmarkEnd w:id="485"/>
      <w:r>
        <w:rPr>
          <w:rFonts w:hint="eastAsia" w:asciiTheme="minorEastAsia" w:hAnsiTheme="minorEastAsia" w:eastAsiaTheme="minorEastAsia" w:cstheme="minorEastAsia"/>
          <w:b/>
          <w:sz w:val="24"/>
        </w:rPr>
        <w:t xml:space="preserve"> </w:t>
      </w:r>
    </w:p>
    <w:p>
      <w:pPr>
        <w:tabs>
          <w:tab w:val="left" w:pos="360"/>
        </w:tabs>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5.1乙方提供的货物必须达到或优于招标文件“货物需求”技术需求中各项指标参数。</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5.2乙方提供的货物必须是生产商原厂生产的正规渠道的全新正品，完全符合国家技术标准和国家质量检测标准。所有货物必须标识清晰，相关质保、合格证书齐全。</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5.3所有货物及辅助材料均由乙方负责</w:t>
      </w:r>
      <w:r>
        <w:rPr>
          <w:rFonts w:hint="eastAsia" w:asciiTheme="minorEastAsia" w:hAnsiTheme="minorEastAsia" w:eastAsiaTheme="minorEastAsia" w:cstheme="minorEastAsia"/>
          <w:kern w:val="0"/>
          <w:sz w:val="24"/>
        </w:rPr>
        <w:t>采购、运输和保管，乙方应对其供货的材料和工程设备负责。</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5.4在生产制作过程中，甲方有权随时对生产现场进行不定期检查，乙方必须无条件予以积极配合。</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5.5本合同下乙方所有设计成果的版权及知识产权归甲方所有。未经甲方同意，乙方不得复制、使用其交付的设计成果，或向第三方转让或许可第三方使用，或用于本合同外的项目或向与本项目无关的第三方展示</w:t>
      </w:r>
      <w:r>
        <w:rPr>
          <w:rFonts w:hint="eastAsia" w:asciiTheme="minorEastAsia" w:hAnsiTheme="minorEastAsia" w:eastAsiaTheme="minorEastAsia" w:cstheme="minorEastAsia"/>
          <w:kern w:val="0"/>
          <w:sz w:val="24"/>
        </w:rPr>
        <w:t>。乙方应保证甲方在使用该货物或其任何一部分时不受第三方提出的侵犯专利权、著作权、商标权和工业设计权等的起诉。如果任何第三方提出侵权指控，乙方须与第三方交涉并承担由此发生的一切责任、费用和经济赔偿。</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5.6</w:t>
      </w:r>
      <w:r>
        <w:rPr>
          <w:rFonts w:hint="eastAsia" w:asciiTheme="minorEastAsia" w:hAnsiTheme="minorEastAsia" w:eastAsiaTheme="minorEastAsia" w:cstheme="minorEastAsia"/>
          <w:kern w:val="0"/>
          <w:sz w:val="24"/>
        </w:rPr>
        <w:t>产品应满足现行相关国家及行业的质量标准，并具有国家认可机构检验质量合格报告；相关的技术参数应符合设计图纸、现行国家标准及招标人技术要求；</w:t>
      </w:r>
      <w:r>
        <w:rPr>
          <w:rFonts w:hint="eastAsia" w:asciiTheme="minorEastAsia" w:hAnsiTheme="minorEastAsia" w:eastAsiaTheme="minorEastAsia" w:cstheme="minorEastAsia"/>
          <w:sz w:val="24"/>
        </w:rPr>
        <w:t>材质、参数规格、环保等要求按技术要求及深化设计方案中相关规定执行。</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5.7乙方必须保证交货产品各项性能不得低于上述标准，甲方保留在例行送检之外随时抽检及送检原材料、成品的权利，检验机构为双方认可的检验机构。对于产品的任何技术及质量不合格，乙方承担检测费用，甲方有权拒收、部分拒收、退货、部分退货直至解除本合同，并要求乙方支付因此造成的所有损失。</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5.8乙方在供货过程中提出的合理化建议涉及到对产品要求的更改及对产品的换用，须经甲方及监理书面同意。未经同意擅自更改或换用时，乙方承担由此发生的费用，并赔偿甲方的有关损失，延误的供货期限不予顺延。</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5.9本合同履行中甲方要求变更产品质量标准，由合同双方协商解决。</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bookmarkStart w:id="486" w:name="_Toc270498302"/>
      <w:r>
        <w:rPr>
          <w:rFonts w:hint="eastAsia" w:asciiTheme="minorEastAsia" w:hAnsiTheme="minorEastAsia" w:eastAsiaTheme="minorEastAsia" w:cstheme="minorEastAsia"/>
          <w:sz w:val="24"/>
        </w:rPr>
        <w:t>5.10乙方承诺安装过程中无条件接受甲方提出的室内空气质量检测，同时必须承诺室内空气质量达到国家安全标准，并承担相关空气质量检测费用。如相关检测指标不符合相关国家标准，甲方有权立即终止合同，已进场的所有产品立即退场，由此而造成的一切经济损失由乙方自行承担。</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5.12检查与返工</w:t>
      </w:r>
      <w:bookmarkEnd w:id="486"/>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（1）施工中乙方应根据甲方或监理的要求随时提供关于工程的技术资料，如设备与材料出厂合格证、检测报告等文件的复印件，随时接受甲方或监理的检查并为此类检查提供方便。</w:t>
      </w:r>
    </w:p>
    <w:p>
      <w:pPr>
        <w:adjustRightInd w:val="0"/>
        <w:snapToGrid w:val="0"/>
        <w:spacing w:line="360" w:lineRule="auto"/>
        <w:ind w:firstLine="480" w:firstLineChars="200"/>
        <w:textAlignment w:val="baseline"/>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（2）属乙方按规定应自行检验或送检的费用由乙方承担，检测机构需获得甲方的认可。</w:t>
      </w:r>
      <w:r>
        <w:rPr>
          <w:rFonts w:hint="eastAsia" w:asciiTheme="minorEastAsia" w:hAnsiTheme="minorEastAsia" w:eastAsiaTheme="minorEastAsia" w:cstheme="minorEastAsia"/>
          <w:bCs/>
          <w:sz w:val="24"/>
        </w:rPr>
        <w:t>甲方有权在规范、规定要求的基础上对各类材料、半成品或产品进行额外检验，如检验不合格，费用由乙方承担，该批检验不合格的材料、半成品或产品必须退场且乙方须重新提供合格的材料、半成品或产品；若合格，费用则由甲方承担。</w:t>
      </w:r>
    </w:p>
    <w:p>
      <w:pPr>
        <w:adjustRightInd w:val="0"/>
        <w:snapToGrid w:val="0"/>
        <w:spacing w:line="360" w:lineRule="auto"/>
        <w:ind w:firstLine="480" w:firstLineChars="200"/>
        <w:textAlignment w:val="baseline"/>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（3）甲方、监理在一切合理时间内均应能进入乙方的材料或设备的制造、加工或制配的所有车间和场所进行检查或检验。尽管有甲方与监理检查或检验，也不能因此而解除乙方对合同所承担的任何责任。</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（4）产品质量不符合设计要求或施工要求，乙方必须返工重做，返工的费用由乙方负担，本合同约定的施工工期不予延长。</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如果乙方在监理指令规定的时间内，不执行监理的整改指令，则甲方有权雇用他人执行该项指令，并向其支付有关费用。所有由此造成及伴随产生的费用，由乙方承担，甲方将从本合同款中扣除，乙方不得有任何异议。</w:t>
      </w:r>
    </w:p>
    <w:p>
      <w:pPr>
        <w:adjustRightInd w:val="0"/>
        <w:snapToGrid w:val="0"/>
        <w:spacing w:line="360" w:lineRule="auto"/>
        <w:ind w:firstLine="482" w:firstLineChars="200"/>
        <w:textAlignment w:val="baseline"/>
        <w:outlineLvl w:val="1"/>
        <w:rPr>
          <w:rFonts w:asciiTheme="minorEastAsia" w:hAnsiTheme="minorEastAsia" w:eastAsiaTheme="minorEastAsia" w:cstheme="minorEastAsia"/>
          <w:b/>
          <w:sz w:val="24"/>
        </w:rPr>
      </w:pPr>
      <w:bookmarkStart w:id="487" w:name="_Toc360696064"/>
      <w:bookmarkStart w:id="488" w:name="_Toc416264720"/>
      <w:bookmarkStart w:id="489" w:name="_Toc416265838"/>
      <w:r>
        <w:rPr>
          <w:rFonts w:hint="eastAsia" w:asciiTheme="minorEastAsia" w:hAnsiTheme="minorEastAsia" w:eastAsiaTheme="minorEastAsia" w:cstheme="minorEastAsia"/>
          <w:b/>
          <w:sz w:val="24"/>
        </w:rPr>
        <w:t>第六条 双方权利及义务</w:t>
      </w:r>
      <w:bookmarkEnd w:id="487"/>
      <w:bookmarkEnd w:id="488"/>
      <w:bookmarkEnd w:id="489"/>
    </w:p>
    <w:p>
      <w:pPr>
        <w:adjustRightInd w:val="0"/>
        <w:snapToGrid w:val="0"/>
        <w:spacing w:line="360" w:lineRule="auto"/>
        <w:ind w:firstLine="482" w:firstLineChars="200"/>
        <w:textAlignment w:val="baseline"/>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6.1 甲方</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bookmarkStart w:id="490" w:name="_Toc416265839"/>
      <w:bookmarkStart w:id="491" w:name="_Toc416264721"/>
      <w:r>
        <w:rPr>
          <w:rFonts w:hint="eastAsia" w:asciiTheme="minorEastAsia" w:hAnsiTheme="minorEastAsia" w:eastAsiaTheme="minorEastAsia" w:cstheme="minorEastAsia"/>
          <w:sz w:val="24"/>
        </w:rPr>
        <w:t>（1）按约定的时间向乙方提供技术要求，并对乙方提供的生产加工工艺、包装、运输方式进行审核。</w:t>
      </w:r>
      <w:bookmarkEnd w:id="490"/>
      <w:bookmarkEnd w:id="491"/>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（2）组织交货验收、竣工验收，办理竣工、移交等手续；协调装饰单位和乙方的工作。</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（3）办理结算、支付合同款项。</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（4）根据本合同约定的方式向乙方发出增加供货、供货期调整、取消订货等指令。</w:t>
      </w:r>
    </w:p>
    <w:p>
      <w:pPr>
        <w:tabs>
          <w:tab w:val="left" w:pos="1654"/>
        </w:tabs>
        <w:suppressAutoHyphens/>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（5）甲方有权提出在货物制造过程中派人到制造厂进行监造，乙方有义务为甲方监造人员提供方便。</w:t>
      </w:r>
    </w:p>
    <w:p>
      <w:pPr>
        <w:adjustRightInd w:val="0"/>
        <w:snapToGrid w:val="0"/>
        <w:spacing w:line="360" w:lineRule="auto"/>
        <w:ind w:firstLine="482" w:firstLineChars="200"/>
        <w:textAlignment w:val="baseline"/>
        <w:rPr>
          <w:rFonts w:asciiTheme="minorEastAsia" w:hAnsiTheme="minorEastAsia" w:eastAsiaTheme="minorEastAsia" w:cstheme="minorEastAsia"/>
          <w:b/>
          <w:sz w:val="24"/>
        </w:rPr>
      </w:pPr>
      <w:bookmarkStart w:id="492" w:name="_Toc270498296"/>
      <w:r>
        <w:rPr>
          <w:rFonts w:hint="eastAsia" w:asciiTheme="minorEastAsia" w:hAnsiTheme="minorEastAsia" w:eastAsiaTheme="minorEastAsia" w:cstheme="minorEastAsia"/>
          <w:b/>
          <w:sz w:val="24"/>
        </w:rPr>
        <w:t>6.2 乙方</w:t>
      </w:r>
      <w:bookmarkEnd w:id="492"/>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（1）乙方按合同规定以及规范、设计的要求，精心组织生产。如发现施工质量有问题，应及时进行整改，如对甲方造成影响，须赔偿甲方损失。</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乙方应根据现场实地情况(乙方自行考察)进行施工，规格大小尺寸在生产制作前须进行现场核对，如因乙方未核对导致现场不能正常安装导致返工，由乙方自行负责。货到现场需经监理和甲方验收，如发现规格、尺寸、材质等不符合合同要求，一律退场，并作为乙方违约处理，承担相应的违约责任。</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（3）乙方在正式供货前须按甲方要求提供实物样品，待样品确认后方可进行供货，若所供货物与样品不一致，则发生的返工等所有后果及责任均由乙方承担。</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注：样品的颜色在制作前须提供颜色样板供甲选择，同类产品的颜色须保持一致。否则产生的返工等所有后果及责任均由乙方承担。</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乙方在查阅合同文件或在本合同工程实施过程中，有责任对工程设计、规范与补充技术规范、图纸或其它资料进行复核，如发现其中有任何差错、遗漏或缺陷，应在其有关的单项工程开工前及时书面通知监理单位，否则对乙方应能发现但其未能发现的错误造成工程的任何损失，乙方应承担相应的责任。</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（5）在实施和完成本合同的整个过程中，乙方应该：</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A、若与本工程相关的预留、预埋工作不由乙方进行施工，乙方负责对施工图及现场的与本专业工程相关的预留、预埋审查，督导使满足本专业工程之需要。</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B、乙方、甲方及监理同时参与乙方提供设备的开箱、清点及验收，在出具审计结算报告之前如发现少件或质量、规格、性能等不符合本合同约定及招标文件要求的，由乙方负责免费更换或补回，并承担相关责任和费用。</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C、为了保护本合同工程的半成品及成品免遭损坏，为了现场附近和过往群众的安全与方便，在确有必要的时候和地方，或当监理或有关主管部门要求时，应提供照明、警卫、护栏、警告标志等安全防护设施并承担相关费用。</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D、乙方提供安装、调试资料、竣工图纸，包括有关图纸及产品、配件合格证</w:t>
      </w:r>
      <w:r>
        <w:rPr>
          <w:rFonts w:hint="eastAsia" w:asciiTheme="minorEastAsia" w:hAnsiTheme="minorEastAsia" w:eastAsiaTheme="minorEastAsia" w:cstheme="minorEastAsia"/>
          <w:sz w:val="24"/>
          <w:lang w:eastAsia="zh-Hans"/>
        </w:rPr>
        <w:t>及</w:t>
      </w:r>
      <w:r>
        <w:rPr>
          <w:rFonts w:hint="eastAsia" w:asciiTheme="minorEastAsia" w:hAnsiTheme="minorEastAsia" w:eastAsiaTheme="minorEastAsia" w:cstheme="minorEastAsia"/>
          <w:sz w:val="24"/>
        </w:rPr>
        <w:t>城建档案馆要求的一切资料，有关交工资料的收集和整理由乙方负责，交甲方统一汇总整理。</w:t>
      </w:r>
    </w:p>
    <w:p>
      <w:pPr>
        <w:adjustRightIn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如需深化设计】乙方需对本项目招标图纸进行深化设计，深化设计必须满足相关规范及使用要求并经使用单位和原设计单位确认。深化设计费、出图费及深化设计发生的费用增加，乙方均应综合考虑在投标报价中，竣工结算时不再另行增加费用。</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合同规定由乙方完成或提供配合的工作（包括合同、会议纪要约定内容以及设计变更等），如乙方拒绝完成或不能按合同要求完成，甲方即可安排其它单位完成，所发生的费用（另加10%的管理费）从乙方当期工程款中直接扣除，影响工期的责任由乙方负责。</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（8）凡乙方未能完成或未能按期完成合同文件规定的内容，造成甲方损失的，乙方负责赔偿甲方有关损失。</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在工程施工过程中以及工程移交后的质保期内，由于乙方责任出现质量问题、安全事故或者其它原因，受到报纸、电视等媒体的曝光或政府有关主管部门的通报批评，给本工程的社会形象造成损失的，每出现一次，由乙方向甲方支付</w:t>
      </w:r>
      <w:r>
        <w:rPr>
          <w:rFonts w:hint="eastAsia" w:asciiTheme="minorEastAsia" w:hAnsiTheme="minorEastAsia" w:eastAsiaTheme="minorEastAsia" w:cstheme="minorEastAsia"/>
          <w:sz w:val="24"/>
          <w:u w:val="single"/>
        </w:rPr>
        <w:t>10</w:t>
      </w:r>
      <w:r>
        <w:rPr>
          <w:rFonts w:hint="eastAsia" w:asciiTheme="minorEastAsia" w:hAnsiTheme="minorEastAsia" w:eastAsiaTheme="minorEastAsia" w:cstheme="minorEastAsia"/>
          <w:sz w:val="24"/>
        </w:rPr>
        <w:t>万元违约金，并由甲方直接从乙方当期工程进度款或保修款中扣除。</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（10）乙方应按照招标文件及合同的要求完成承包范围内的各项工作，向甲方提供其它专业工程所应具备的开工条件。</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（11）未经甲方书面批准，乙方不得对本合同工程的全部或任何部分进行转包或分包，否则，甲方可终止本合同且由乙方承担一切责任。</w:t>
      </w:r>
    </w:p>
    <w:p>
      <w:pPr>
        <w:adjustRightInd w:val="0"/>
        <w:snapToGrid w:val="0"/>
        <w:spacing w:line="360" w:lineRule="auto"/>
        <w:ind w:firstLine="482" w:firstLineChars="200"/>
        <w:textAlignment w:val="baseline"/>
        <w:outlineLvl w:val="1"/>
        <w:rPr>
          <w:rFonts w:asciiTheme="minorEastAsia" w:hAnsiTheme="minorEastAsia" w:eastAsiaTheme="minorEastAsia" w:cstheme="minorEastAsia"/>
          <w:b/>
          <w:sz w:val="24"/>
        </w:rPr>
      </w:pPr>
      <w:bookmarkStart w:id="493" w:name="_Toc360696068"/>
      <w:bookmarkStart w:id="494" w:name="_Toc416264723"/>
      <w:bookmarkStart w:id="495" w:name="_Toc416265841"/>
      <w:r>
        <w:rPr>
          <w:rFonts w:hint="eastAsia" w:asciiTheme="minorEastAsia" w:hAnsiTheme="minorEastAsia" w:eastAsiaTheme="minorEastAsia" w:cstheme="minorEastAsia"/>
          <w:b/>
          <w:sz w:val="24"/>
        </w:rPr>
        <w:t>第七条 产品包装、运输、交货、验收及结算的方式</w:t>
      </w:r>
      <w:bookmarkEnd w:id="493"/>
      <w:bookmarkEnd w:id="494"/>
      <w:bookmarkEnd w:id="495"/>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7.1包装</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（1）除甲方有特殊要求外，设备的包装由乙方负责，按适合运输及仓储的方式设计，费用包含在合同价款中。</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包装应根据设备特点具备防潮、防雨、防锈、防震、防腐蚀等功能，乙方对包装的风险负责，因包装设计、制作、质量等原因造成产品损失的，由乙方承担责任。对甲方造成工程工期、人力资源浪费等情况的，甲方有权提出索赔。</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包装物上必须标注产品名称、规格型号、颜色、数量、产品等级、堆放要求、保存环境要求、生产商等资料标识，因标识缺少或不清导致安装、堆放、保管错误并造成损失的，乙方负责赔偿，对甲方造成工程工期、人力资源浪费等情况的，甲方有权提出索赔。</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（4）考虑对环境的保护，如监理或者甲方提出要求，乙方应负责包装物的回收。</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7.2运输</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本合同设备的运输及风险由乙方负责，运输费用及运输保险费用包含在合同价款中，甲方对此不负任何责任。</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7.3交货</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交货方式为乙方送货至甲方指定地点，除不可抗力因素外，乙方必须按合同规定的时间、地点安排交货。乙方不能按时供货，应当于不迟于甲方通知的供货日期前5天，以书面形式向甲方提出延期供货的理由和要求。甲方书面同意后供货工期相应顺延。甲方不同意而乙方未按时交货的，甲方有权解除本合同，并向乙方索赔因此造成的所有损失；甲方亦可不解除本合同，乙方除应承担全部责任并赔偿相关损失外，还应向甲方支付</w:t>
      </w:r>
      <w:r>
        <w:rPr>
          <w:rFonts w:hint="eastAsia" w:asciiTheme="minorEastAsia" w:hAnsiTheme="minorEastAsia" w:eastAsiaTheme="minorEastAsia" w:cstheme="minorEastAsia"/>
          <w:sz w:val="24"/>
          <w:u w:val="single"/>
        </w:rPr>
        <w:t>合同总价的0.1％/天</w:t>
      </w:r>
      <w:r>
        <w:rPr>
          <w:rFonts w:hint="eastAsia" w:asciiTheme="minorEastAsia" w:hAnsiTheme="minorEastAsia" w:eastAsiaTheme="minorEastAsia" w:cstheme="minorEastAsia"/>
          <w:sz w:val="24"/>
        </w:rPr>
        <w:t>的违约金。</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（2）乙方接受甲方对供货期调整、暂停供货、恢复供货以及增加供货安装的要求，具体方式为：甲方提前十五天发出书面通知，乙方负责人进行书面确认后即可执行。对此甲方不承担违约责任。</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（3）乙方交货时应根据甲方要求提供相关资料。</w:t>
      </w:r>
    </w:p>
    <w:p>
      <w:pPr>
        <w:adjustRightInd w:val="0"/>
        <w:spacing w:line="360" w:lineRule="auto"/>
        <w:ind w:left="542" w:leftChars="258"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包括但不限于：</w:t>
      </w:r>
    </w:p>
    <w:p>
      <w:pPr>
        <w:adjustRightInd w:val="0"/>
        <w:spacing w:line="360" w:lineRule="auto"/>
        <w:ind w:left="542" w:leftChars="258"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①文件目录</w:t>
      </w:r>
    </w:p>
    <w:p>
      <w:pPr>
        <w:adjustRightInd w:val="0"/>
        <w:spacing w:line="360" w:lineRule="auto"/>
        <w:ind w:left="542" w:leftChars="258"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②装箱清单</w:t>
      </w:r>
    </w:p>
    <w:p>
      <w:pPr>
        <w:adjustRightInd w:val="0"/>
        <w:spacing w:line="360" w:lineRule="auto"/>
        <w:ind w:left="542" w:leftChars="258"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③主要部件的产地证明</w:t>
      </w:r>
    </w:p>
    <w:p>
      <w:pPr>
        <w:adjustRightInd w:val="0"/>
        <w:spacing w:line="360" w:lineRule="auto"/>
        <w:ind w:left="542" w:leftChars="258" w:firstLine="480" w:firstLineChars="200"/>
        <w:textAlignment w:val="baseline"/>
        <w:rPr>
          <w:rFonts w:asciiTheme="minorEastAsia" w:hAnsiTheme="minorEastAsia" w:eastAsiaTheme="minorEastAsia" w:cstheme="minorEastAsia"/>
          <w:sz w:val="24"/>
          <w:lang w:eastAsia="zh-Hans"/>
        </w:rPr>
      </w:pPr>
      <w:r>
        <w:rPr>
          <w:rFonts w:hint="eastAsia" w:asciiTheme="minorEastAsia" w:hAnsiTheme="minorEastAsia" w:eastAsiaTheme="minorEastAsia" w:cstheme="minorEastAsia"/>
          <w:sz w:val="24"/>
        </w:rPr>
        <w:t>④电气原理图及符号说明（</w:t>
      </w:r>
      <w:r>
        <w:rPr>
          <w:rFonts w:hint="eastAsia" w:asciiTheme="minorEastAsia" w:hAnsiTheme="minorEastAsia" w:eastAsiaTheme="minorEastAsia" w:cstheme="minorEastAsia"/>
          <w:sz w:val="24"/>
          <w:lang w:eastAsia="zh-Hans"/>
        </w:rPr>
        <w:t>如有）</w:t>
      </w:r>
    </w:p>
    <w:p>
      <w:pPr>
        <w:adjustRightInd w:val="0"/>
        <w:spacing w:line="360" w:lineRule="auto"/>
        <w:ind w:left="542" w:leftChars="258"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⑤设备使用维修说明书</w:t>
      </w:r>
    </w:p>
    <w:p>
      <w:pPr>
        <w:adjustRightInd w:val="0"/>
        <w:spacing w:line="360" w:lineRule="auto"/>
        <w:ind w:left="542" w:leftChars="258"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⑥设备安装调试说明书</w:t>
      </w:r>
    </w:p>
    <w:p>
      <w:pPr>
        <w:adjustRightInd w:val="0"/>
        <w:spacing w:line="360" w:lineRule="auto"/>
        <w:ind w:left="542" w:leftChars="258"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⑦安装图册</w:t>
      </w:r>
    </w:p>
    <w:p>
      <w:pPr>
        <w:adjustRightInd w:val="0"/>
        <w:spacing w:line="360" w:lineRule="auto"/>
        <w:ind w:left="542" w:leftChars="258" w:firstLine="480" w:firstLineChars="200"/>
        <w:textAlignment w:val="baseline"/>
        <w:rPr>
          <w:rFonts w:asciiTheme="minorEastAsia" w:hAnsiTheme="minorEastAsia" w:eastAsiaTheme="minorEastAsia" w:cstheme="minorEastAsia"/>
          <w:sz w:val="24"/>
          <w:lang w:eastAsia="zh-Hans"/>
        </w:rPr>
      </w:pPr>
      <w:r>
        <w:rPr>
          <w:rFonts w:hint="eastAsia" w:asciiTheme="minorEastAsia" w:hAnsiTheme="minorEastAsia" w:eastAsiaTheme="minorEastAsia" w:cstheme="minorEastAsia"/>
          <w:sz w:val="24"/>
        </w:rPr>
        <w:t>⑧进口设备报关单（</w:t>
      </w:r>
      <w:r>
        <w:rPr>
          <w:rFonts w:hint="eastAsia" w:asciiTheme="minorEastAsia" w:hAnsiTheme="minorEastAsia" w:eastAsiaTheme="minorEastAsia" w:cstheme="minorEastAsia"/>
          <w:sz w:val="24"/>
          <w:lang w:eastAsia="zh-Hans"/>
        </w:rPr>
        <w:t>如有）</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7.4签收、验收</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（1）交货验收应在甲方指定地点落地之后进行。</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（2）甲方接收人签收的收（运）货单等材料仅仅表明甲方收到货物，并不用以证明乙方交付的货物符合合同约的数量、质量、规格型号、性能等要求。</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（3）验收由乙方</w:t>
      </w:r>
      <w:r>
        <w:rPr>
          <w:rFonts w:hint="eastAsia" w:asciiTheme="minorEastAsia" w:hAnsiTheme="minorEastAsia" w:eastAsiaTheme="minorEastAsia" w:cstheme="minorEastAsia"/>
          <w:sz w:val="24"/>
          <w:lang w:eastAsia="zh-Hans"/>
        </w:rPr>
        <w:t>报请</w:t>
      </w:r>
      <w:r>
        <w:rPr>
          <w:rFonts w:hint="eastAsia" w:asciiTheme="minorEastAsia" w:hAnsiTheme="minorEastAsia" w:eastAsiaTheme="minorEastAsia" w:cstheme="minorEastAsia"/>
          <w:sz w:val="24"/>
        </w:rPr>
        <w:t>甲方</w:t>
      </w:r>
      <w:r>
        <w:rPr>
          <w:rFonts w:hint="eastAsia" w:asciiTheme="minorEastAsia" w:hAnsiTheme="minorEastAsia" w:eastAsiaTheme="minorEastAsia" w:cstheme="minorEastAsia"/>
          <w:sz w:val="24"/>
          <w:lang w:eastAsia="zh-Hans"/>
        </w:rPr>
        <w:t>或</w:t>
      </w:r>
      <w:r>
        <w:rPr>
          <w:rFonts w:hint="eastAsia" w:asciiTheme="minorEastAsia" w:hAnsiTheme="minorEastAsia" w:eastAsiaTheme="minorEastAsia" w:cstheme="minorEastAsia"/>
          <w:sz w:val="24"/>
        </w:rPr>
        <w:t>监理单位</w:t>
      </w:r>
      <w:r>
        <w:rPr>
          <w:rFonts w:hint="eastAsia" w:asciiTheme="minorEastAsia" w:hAnsiTheme="minorEastAsia" w:eastAsiaTheme="minorEastAsia" w:cstheme="minorEastAsia"/>
          <w:sz w:val="24"/>
          <w:lang w:eastAsia="zh-Hans"/>
        </w:rPr>
        <w:t>组织</w:t>
      </w:r>
      <w:r>
        <w:rPr>
          <w:rFonts w:hint="eastAsia" w:asciiTheme="minorEastAsia" w:hAnsiTheme="minorEastAsia" w:eastAsiaTheme="minorEastAsia" w:cstheme="minorEastAsia"/>
          <w:sz w:val="24"/>
        </w:rPr>
        <w:t>，并根据乙方提供交货产品相关的检验检测报告、产品质保书、合格证、安装指导书和技术说明书、其它必要的技术资料等作为验收依据。各方签字后即表示交货、验收完成，但并不免除乙方对交货产品存在数量、规格、质量、制造、设计、性能方面的缺陷和不合格的责任、违约责任和对甲方造成损失的赔偿。乙方应派专业技术人员参与产品验收。</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（4）若检验检测报告不合格，甲方有权拒收、部分拒收、退货、部分退货直至解除本合同，并向乙方索赔因此造成的所有损失。</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（5）如果按照国家相关规定有要求的，交货之后3个工作日内，甲方应与乙方约定时间共同取样送检，送检不合格的按本合同第十条第10款的有关规定处理。</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（6）若产品需要通过政府或行甲方管部门专项验收的，乙方应配合相关方组织的验收并保证产品通过验收，相关费用已包含在合同价款中。</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本合同中所有产品在安装至竣工前，乙方负责所供产品的安装指导、配合调试及操作培训等，在此期间如产品出现不能达到合同中要求的技术指标、质量要求等情况，乙方必须及时无条件更换，并达到合同中要求的标准，所有费用由乙方负责，并赔偿由此给甲方造成的损失。</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7.5计量方法</w:t>
      </w:r>
    </w:p>
    <w:p>
      <w:pPr>
        <w:numPr>
          <w:ilvl w:val="0"/>
          <w:numId w:val="4"/>
        </w:num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乙方需在产品生产加工前，到工地现场实地测量、复核产品需求量，经过甲方确认后进行生产。</w:t>
      </w:r>
    </w:p>
    <w:p>
      <w:pPr>
        <w:numPr>
          <w:ilvl w:val="0"/>
          <w:numId w:val="4"/>
        </w:num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甲方对乙方深化设计方案中外形、材质、技术规格、参数、形状、尺寸等保留变更的权利，合同变更时，</w:t>
      </w:r>
      <w:r>
        <w:rPr>
          <w:rFonts w:hint="eastAsia" w:asciiTheme="minorEastAsia" w:hAnsiTheme="minorEastAsia" w:eastAsiaTheme="minorEastAsia" w:cstheme="minorEastAsia"/>
          <w:sz w:val="24"/>
          <w:lang w:eastAsia="zh-Hans"/>
        </w:rPr>
        <w:t>甲乙</w:t>
      </w:r>
      <w:r>
        <w:rPr>
          <w:rFonts w:hint="eastAsia" w:asciiTheme="minorEastAsia" w:hAnsiTheme="minorEastAsia" w:eastAsiaTheme="minorEastAsia" w:cstheme="minorEastAsia"/>
          <w:sz w:val="24"/>
        </w:rPr>
        <w:t xml:space="preserve">双方按下述方式确定调整合同价格： </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A.对合同中已有项目的增加或删除，根据本条款计算调整合同价格；</w:t>
      </w:r>
    </w:p>
    <w:p>
      <w:pPr>
        <w:numPr>
          <w:ilvl w:val="0"/>
          <w:numId w:val="5"/>
        </w:numPr>
        <w:adjustRightInd w:val="0"/>
        <w:snapToGrid w:val="0"/>
        <w:spacing w:line="360" w:lineRule="auto"/>
        <w:ind w:left="0"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单项货物的变更数量不超过该项合同量的 15%时，数量的变化按相应的投标单价予以调整； </w:t>
      </w:r>
    </w:p>
    <w:p>
      <w:pPr>
        <w:numPr>
          <w:ilvl w:val="0"/>
          <w:numId w:val="5"/>
        </w:numPr>
        <w:adjustRightInd w:val="0"/>
        <w:snapToGrid w:val="0"/>
        <w:spacing w:line="360" w:lineRule="auto"/>
        <w:ind w:left="0"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单项货物的变更数量超过该项合同量的 15%时，且</w:t>
      </w:r>
      <w:r>
        <w:rPr>
          <w:rFonts w:hint="eastAsia" w:asciiTheme="minorEastAsia" w:hAnsiTheme="minorEastAsia" w:eastAsiaTheme="minorEastAsia" w:cstheme="minorEastAsia"/>
          <w:sz w:val="24"/>
          <w:lang w:eastAsia="zh-Hans"/>
        </w:rPr>
        <w:t>乙方</w:t>
      </w:r>
      <w:r>
        <w:rPr>
          <w:rFonts w:hint="eastAsia" w:asciiTheme="minorEastAsia" w:hAnsiTheme="minorEastAsia" w:eastAsiaTheme="minorEastAsia" w:cstheme="minorEastAsia"/>
          <w:sz w:val="24"/>
        </w:rPr>
        <w:t xml:space="preserve">在合同中的单价报价合理时，数量的变化按相应的投标单价予以调整； </w:t>
      </w:r>
    </w:p>
    <w:p>
      <w:pPr>
        <w:numPr>
          <w:ilvl w:val="0"/>
          <w:numId w:val="5"/>
        </w:numPr>
        <w:adjustRightInd w:val="0"/>
        <w:snapToGrid w:val="0"/>
        <w:spacing w:line="360" w:lineRule="auto"/>
        <w:ind w:left="0"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单项货物的变更数量超过该项合同量的 15%时，且</w:t>
      </w:r>
      <w:r>
        <w:rPr>
          <w:rFonts w:hint="eastAsia" w:asciiTheme="minorEastAsia" w:hAnsiTheme="minorEastAsia" w:eastAsiaTheme="minorEastAsia" w:cstheme="minorEastAsia"/>
          <w:sz w:val="24"/>
          <w:lang w:eastAsia="zh-Hans"/>
        </w:rPr>
        <w:t>甲方</w:t>
      </w:r>
      <w:r>
        <w:rPr>
          <w:rFonts w:hint="eastAsia" w:asciiTheme="minorEastAsia" w:hAnsiTheme="minorEastAsia" w:eastAsiaTheme="minorEastAsia" w:cstheme="minorEastAsia"/>
          <w:sz w:val="24"/>
        </w:rPr>
        <w:t>发现</w:t>
      </w:r>
      <w:r>
        <w:rPr>
          <w:rFonts w:hint="eastAsia" w:asciiTheme="minorEastAsia" w:hAnsiTheme="minorEastAsia" w:eastAsiaTheme="minorEastAsia" w:cstheme="minorEastAsia"/>
          <w:sz w:val="24"/>
          <w:lang w:eastAsia="zh-Hans"/>
        </w:rPr>
        <w:t>乙方</w:t>
      </w:r>
      <w:r>
        <w:rPr>
          <w:rFonts w:hint="eastAsia" w:asciiTheme="minorEastAsia" w:hAnsiTheme="minorEastAsia" w:eastAsiaTheme="minorEastAsia" w:cstheme="minorEastAsia"/>
          <w:sz w:val="24"/>
        </w:rPr>
        <w:t>在合同中的单价报价明显不合理时，</w:t>
      </w:r>
      <w:r>
        <w:rPr>
          <w:rFonts w:hint="eastAsia" w:asciiTheme="minorEastAsia" w:hAnsiTheme="minorEastAsia" w:eastAsiaTheme="minorEastAsia" w:cstheme="minorEastAsia"/>
          <w:sz w:val="24"/>
          <w:lang w:eastAsia="zh-Hans"/>
        </w:rPr>
        <w:t>甲方</w:t>
      </w:r>
      <w:r>
        <w:rPr>
          <w:rFonts w:hint="eastAsia" w:asciiTheme="minorEastAsia" w:hAnsiTheme="minorEastAsia" w:eastAsiaTheme="minorEastAsia" w:cstheme="minorEastAsia"/>
          <w:sz w:val="24"/>
        </w:rPr>
        <w:t xml:space="preserve">可根据同类项目合理的价格情况，对超出 15%的部分进行重新确认单价。 </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B</w:t>
      </w:r>
      <w:r>
        <w:rPr>
          <w:rFonts w:asciiTheme="minorEastAsia" w:hAnsiTheme="minorEastAsia" w:eastAsiaTheme="minorEastAsia" w:cstheme="minorEastAsia"/>
          <w:sz w:val="24"/>
        </w:rPr>
        <w:t>.</w:t>
      </w:r>
      <w:r>
        <w:rPr>
          <w:rFonts w:hint="eastAsia" w:asciiTheme="minorEastAsia" w:hAnsiTheme="minorEastAsia" w:eastAsiaTheme="minorEastAsia" w:cstheme="minorEastAsia"/>
          <w:sz w:val="24"/>
        </w:rPr>
        <w:t xml:space="preserve">对合同中已明确并有定价的选项及替代方案，按合同列明的相应的金额计； </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C</w:t>
      </w:r>
      <w:r>
        <w:rPr>
          <w:rFonts w:asciiTheme="minorEastAsia" w:hAnsiTheme="minorEastAsia" w:eastAsiaTheme="minorEastAsia" w:cstheme="minorEastAsia"/>
          <w:sz w:val="24"/>
        </w:rPr>
        <w:t>.</w:t>
      </w:r>
      <w:r>
        <w:rPr>
          <w:rFonts w:hint="eastAsia" w:asciiTheme="minorEastAsia" w:hAnsiTheme="minorEastAsia" w:eastAsiaTheme="minorEastAsia" w:cstheme="minorEastAsia"/>
          <w:sz w:val="24"/>
        </w:rPr>
        <w:t xml:space="preserve">对合同中尚未明确和定价的选项及替代方案，其金额须由合同双方按以下一种或多种方法协商确定： </w:t>
      </w:r>
    </w:p>
    <w:p>
      <w:pPr>
        <w:numPr>
          <w:ilvl w:val="0"/>
          <w:numId w:val="6"/>
        </w:numPr>
        <w:adjustRightInd w:val="0"/>
        <w:snapToGrid w:val="0"/>
        <w:spacing w:line="360" w:lineRule="auto"/>
        <w:ind w:left="0"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根据合同规定的原则计出总价；</w:t>
      </w:r>
    </w:p>
    <w:p>
      <w:pPr>
        <w:numPr>
          <w:ilvl w:val="0"/>
          <w:numId w:val="6"/>
        </w:numPr>
        <w:adjustRightInd w:val="0"/>
        <w:snapToGrid w:val="0"/>
        <w:spacing w:line="360" w:lineRule="auto"/>
        <w:ind w:left="0"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根据相近材质单价（每平方米）计算； </w:t>
      </w:r>
    </w:p>
    <w:p>
      <w:pPr>
        <w:numPr>
          <w:ilvl w:val="0"/>
          <w:numId w:val="6"/>
        </w:numPr>
        <w:adjustRightInd w:val="0"/>
        <w:snapToGrid w:val="0"/>
        <w:spacing w:line="360" w:lineRule="auto"/>
        <w:ind w:left="0"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根据合同价格类推和/或按比例计算而计出总价；</w:t>
      </w:r>
    </w:p>
    <w:p>
      <w:pPr>
        <w:numPr>
          <w:ilvl w:val="0"/>
          <w:numId w:val="6"/>
        </w:numPr>
        <w:adjustRightInd w:val="0"/>
        <w:snapToGrid w:val="0"/>
        <w:spacing w:line="360" w:lineRule="auto"/>
        <w:ind w:left="0"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根据相应的项目成本确定；</w:t>
      </w:r>
    </w:p>
    <w:p>
      <w:pPr>
        <w:numPr>
          <w:ilvl w:val="0"/>
          <w:numId w:val="6"/>
        </w:numPr>
        <w:adjustRightInd w:val="0"/>
        <w:snapToGrid w:val="0"/>
        <w:spacing w:line="360" w:lineRule="auto"/>
        <w:ind w:left="0"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按投标时的费率水平取费，且不得超过相应定额水平。</w:t>
      </w:r>
    </w:p>
    <w:p>
      <w:pPr>
        <w:numPr>
          <w:ilvl w:val="0"/>
          <w:numId w:val="6"/>
        </w:numPr>
        <w:adjustRightInd w:val="0"/>
        <w:snapToGrid w:val="0"/>
        <w:spacing w:line="360" w:lineRule="auto"/>
        <w:ind w:left="0"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其他：货物实际规格尺寸(按平方米计算，视情况)与招标清单偏差在15%(含)内，中标综合单价不予调整，偏差超过15%以外的综合单价由双方协商确定。</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（3）甲方接受产品的数量以交货验收合格并移交的数量为准。</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7.6乙方应及时配合甲方向档案管理部门办理工程资料和移交。属于甲方应提供的资料由甲方负责及时提供给乙方，乙方未按规定向档案部门移交资料，造成甲方的损失由乙方承担。</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7.7在通过工程竣工验收</w:t>
      </w:r>
      <w:r>
        <w:rPr>
          <w:rFonts w:hint="eastAsia" w:asciiTheme="minorEastAsia" w:hAnsiTheme="minorEastAsia" w:eastAsiaTheme="minorEastAsia" w:cstheme="minorEastAsia"/>
          <w:sz w:val="24"/>
          <w:lang w:eastAsia="zh-Hans"/>
        </w:rPr>
        <w:t>并移交使用单位</w:t>
      </w:r>
      <w:r>
        <w:rPr>
          <w:rFonts w:hint="eastAsia" w:asciiTheme="minorEastAsia" w:hAnsiTheme="minorEastAsia" w:eastAsiaTheme="minorEastAsia" w:cstheme="minorEastAsia"/>
          <w:sz w:val="24"/>
        </w:rPr>
        <w:t>后，乙方应在30天内向甲方报送工程竣工结算书及所依据的所有结算资料。乙方必须保证结算资料的完整性、准确性、真实性，否则造成结算工作滞后及拖延由乙方负责。</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7.8甲方收到乙方递交的完整的竣工结算资料后（以接受最后一份结算资料开始算起）进行核实并由第三方进行审计，给予确认或提出修改意见。核对完毕后，甲方签署结算确认书。</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7.9若发现乙方同一货物综合单价报价不一致的，则以报价较低者作为结算综合单价</w:t>
      </w:r>
      <w:bookmarkStart w:id="496" w:name="_Toc416264725"/>
      <w:bookmarkStart w:id="497" w:name="_Toc360696071"/>
      <w:bookmarkStart w:id="498" w:name="_Toc416265843"/>
      <w:r>
        <w:rPr>
          <w:rFonts w:hint="eastAsia" w:asciiTheme="minorEastAsia" w:hAnsiTheme="minorEastAsia" w:eastAsiaTheme="minorEastAsia" w:cstheme="minorEastAsia"/>
          <w:sz w:val="24"/>
        </w:rPr>
        <w:t>。</w:t>
      </w:r>
    </w:p>
    <w:p>
      <w:pPr>
        <w:adjustRightInd w:val="0"/>
        <w:spacing w:line="360" w:lineRule="auto"/>
        <w:ind w:firstLine="482" w:firstLineChars="200"/>
        <w:textAlignment w:val="baseline"/>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第八条 售后服务及人员培训要求</w:t>
      </w:r>
    </w:p>
    <w:p>
      <w:pPr>
        <w:tabs>
          <w:tab w:val="left" w:pos="1654"/>
        </w:tabs>
        <w:suppressAutoHyphens/>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8.1此次采购的所有产品质保期不低于</w:t>
      </w:r>
      <w:r>
        <w:rPr>
          <w:rFonts w:hint="eastAsia" w:asciiTheme="minorEastAsia" w:hAnsiTheme="minorEastAsia" w:eastAsiaTheme="minorEastAsia" w:cstheme="minorEastAsia"/>
          <w:kern w:val="0"/>
          <w:sz w:val="24"/>
          <w:u w:val="single"/>
        </w:rPr>
        <w:t>两</w:t>
      </w:r>
      <w:r>
        <w:rPr>
          <w:rFonts w:hint="eastAsia" w:asciiTheme="minorEastAsia" w:hAnsiTheme="minorEastAsia" w:eastAsiaTheme="minorEastAsia" w:cstheme="minorEastAsia"/>
          <w:kern w:val="0"/>
          <w:sz w:val="24"/>
        </w:rPr>
        <w:t>年（具体以乙方投标时承诺的质保期限为准），从完成移交至使用单位后之日起开始计算。</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8.2货物交付、验收合格使用后，中标按合同提供质保期内的免费保修服务。中标人需在接到报修电话后应在</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小时内赶到现场，并于</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日内完成通知所涉及之保修、维修项目。</w:t>
      </w:r>
    </w:p>
    <w:p>
      <w:pPr>
        <w:tabs>
          <w:tab w:val="left" w:pos="1654"/>
        </w:tabs>
        <w:suppressAutoHyphens/>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8.3乙方需安排设备使用维护的现场培训，培训的人数和深度必须满足投标文件的要求，费用已包含在合同价中，甲方不再另行支付。</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8.4 在保证期内因设备本身的质量问题发生故障，乙方应负责免费修理和更换零部件。对经过修理和免费更换零部件后仍然达不到使用要求者，甲方可按以下办法处理：</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A 退货处理：乙方应退还甲方支付的设备款，同时应承担因该设备退货而发生的一切费用与损失(包括但不限于运输、保险、检验、组装就位调试、设备款利息、银行手续费及涉及该项目的其它损失费等)。</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B更换设备：由乙方承担因更换设备所发生的一切费用与损失【包括但不限于设备、运输（包括卸车至现场及卸车至指定地点）、保险、检验、就位、安装、调试、设备款利息、银行手续费及涉及该项目的其它损失费等】。</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C 甲方有权根据质保期内设备本身质量问题发生的故障严重程度，选择以上任意一种方式，乙方须无条件接受。</w:t>
      </w:r>
    </w:p>
    <w:p>
      <w:pPr>
        <w:suppressAutoHyphens/>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8.5 乙方进行就位、安装、调试，以及进行维修、保养等工作时，应当遵守劳动安全等规章制度，听从甲方的安全指挥，对因乙方履行上述工作给甲方与第三人造成的损害责任(包括但不限于人身损害、财产损害等)，以及造成乙方自身的损害责任，均由乙方承担。如甲方先行承担责任的，甲方有权向乙方追偿损失（包括但不限于赔偿费、诉讼费、律师费等），并有权从任何应该支付或将要支付给乙方的金额中扣除该偿还金额。</w:t>
      </w:r>
    </w:p>
    <w:p>
      <w:pPr>
        <w:tabs>
          <w:tab w:val="left" w:pos="1654"/>
        </w:tabs>
        <w:suppressAutoHyphens/>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8.6保修期满后，</w:t>
      </w:r>
      <w:r>
        <w:rPr>
          <w:rFonts w:hint="eastAsia" w:asciiTheme="minorEastAsia" w:hAnsiTheme="minorEastAsia" w:eastAsiaTheme="minorEastAsia" w:cstheme="minorEastAsia"/>
          <w:kern w:val="0"/>
          <w:sz w:val="24"/>
          <w:lang w:eastAsia="zh-Hans"/>
        </w:rPr>
        <w:t>乙方</w:t>
      </w:r>
      <w:r>
        <w:rPr>
          <w:rFonts w:hint="eastAsia" w:asciiTheme="minorEastAsia" w:hAnsiTheme="minorEastAsia" w:eastAsiaTheme="minorEastAsia" w:cstheme="minorEastAsia"/>
          <w:kern w:val="0"/>
          <w:sz w:val="24"/>
        </w:rPr>
        <w:t>须承诺提供终身维修服务，</w:t>
      </w:r>
      <w:r>
        <w:rPr>
          <w:rFonts w:hint="eastAsia" w:asciiTheme="minorEastAsia" w:hAnsiTheme="minorEastAsia" w:eastAsiaTheme="minorEastAsia" w:cstheme="minorEastAsia"/>
          <w:kern w:val="0"/>
          <w:sz w:val="24"/>
          <w:lang w:eastAsia="zh-Hans"/>
        </w:rPr>
        <w:t>并向运营单位</w:t>
      </w:r>
      <w:r>
        <w:rPr>
          <w:rFonts w:hint="eastAsia" w:asciiTheme="minorEastAsia" w:hAnsiTheme="minorEastAsia" w:eastAsiaTheme="minorEastAsia" w:cstheme="minorEastAsia"/>
          <w:kern w:val="0"/>
          <w:sz w:val="24"/>
        </w:rPr>
        <w:t>提供备品备件及常用材料的价目表，</w:t>
      </w:r>
      <w:r>
        <w:rPr>
          <w:rFonts w:hint="eastAsia" w:asciiTheme="minorEastAsia" w:hAnsiTheme="minorEastAsia" w:eastAsiaTheme="minorEastAsia" w:cstheme="minorEastAsia"/>
          <w:kern w:val="0"/>
          <w:sz w:val="24"/>
          <w:lang w:eastAsia="zh-Hans"/>
        </w:rPr>
        <w:t>同时</w:t>
      </w:r>
      <w:r>
        <w:rPr>
          <w:rFonts w:hint="eastAsia" w:asciiTheme="minorEastAsia" w:hAnsiTheme="minorEastAsia" w:eastAsiaTheme="minorEastAsia" w:cstheme="minorEastAsia"/>
          <w:kern w:val="0"/>
          <w:sz w:val="24"/>
        </w:rPr>
        <w:t>保证零配件供应，维修费用按照材料成本收取。</w:t>
      </w:r>
    </w:p>
    <w:p>
      <w:pPr>
        <w:tabs>
          <w:tab w:val="left" w:pos="1654"/>
        </w:tabs>
        <w:suppressAutoHyphens/>
        <w:spacing w:line="360" w:lineRule="auto"/>
        <w:ind w:firstLine="480" w:firstLineChars="200"/>
        <w:jc w:val="left"/>
        <w:rPr>
          <w:rFonts w:asciiTheme="minorEastAsia" w:hAnsiTheme="minorEastAsia" w:eastAsiaTheme="minorEastAsia" w:cstheme="minorEastAsia"/>
          <w:kern w:val="0"/>
          <w:sz w:val="24"/>
          <w:lang w:eastAsia="zh-Hans"/>
        </w:rPr>
      </w:pPr>
      <w:r>
        <w:rPr>
          <w:rFonts w:hint="eastAsia" w:asciiTheme="minorEastAsia" w:hAnsiTheme="minorEastAsia" w:eastAsiaTheme="minorEastAsia" w:cstheme="minorEastAsia"/>
          <w:kern w:val="0"/>
          <w:sz w:val="24"/>
        </w:rPr>
        <w:t>8.7</w:t>
      </w:r>
      <w:r>
        <w:rPr>
          <w:rFonts w:hint="eastAsia" w:asciiTheme="minorEastAsia" w:hAnsiTheme="minorEastAsia" w:eastAsiaTheme="minorEastAsia" w:cstheme="minorEastAsia"/>
          <w:kern w:val="0"/>
          <w:sz w:val="24"/>
          <w:lang w:eastAsia="zh-Hans"/>
        </w:rPr>
        <w:t>乙方具备24小时服务和承担所有维修服务的能力并及时提供备品备件。质保期内至少1人做到全天候24小时随时维修响应、修复，不收取维修、配件等的任何费用。一旦设备发生故障，在接到甲方通知后，维修人员须在20分钟内赶到现场，并提供不间断的服务直到结束。维修点需提供足够的备件以适应维修需求。质保期内备品备件免费更换。质保期结束前免费对设备进行一次系统测试，并提供一次测试报告。</w:t>
      </w:r>
    </w:p>
    <w:bookmarkEnd w:id="496"/>
    <w:bookmarkEnd w:id="497"/>
    <w:bookmarkEnd w:id="498"/>
    <w:p>
      <w:pPr>
        <w:numPr>
          <w:ilvl w:val="0"/>
          <w:numId w:val="7"/>
        </w:numPr>
        <w:adjustRightInd w:val="0"/>
        <w:snapToGrid w:val="0"/>
        <w:spacing w:line="360" w:lineRule="auto"/>
        <w:ind w:firstLine="482" w:firstLineChars="200"/>
        <w:textAlignment w:val="baseline"/>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违约处理</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9.1乙方未能在合同约定期限内交付合格的货物：逾期10天以内的，则乙方需向甲方支付合同价款</w:t>
      </w:r>
      <w:r>
        <w:rPr>
          <w:rFonts w:hint="eastAsia" w:asciiTheme="minorEastAsia" w:hAnsiTheme="minorEastAsia" w:eastAsiaTheme="minorEastAsia" w:cstheme="minorEastAsia"/>
          <w:sz w:val="24"/>
          <w:u w:val="single"/>
        </w:rPr>
        <w:t>10%的违</w:t>
      </w:r>
      <w:r>
        <w:rPr>
          <w:rFonts w:hint="eastAsia" w:asciiTheme="minorEastAsia" w:hAnsiTheme="minorEastAsia" w:eastAsiaTheme="minorEastAsia" w:cstheme="minorEastAsia"/>
          <w:sz w:val="24"/>
        </w:rPr>
        <w:t>约金；逾期超过</w:t>
      </w:r>
      <w:r>
        <w:rPr>
          <w:rFonts w:hint="eastAsia" w:asciiTheme="minorEastAsia" w:hAnsiTheme="minorEastAsia" w:eastAsiaTheme="minorEastAsia" w:cstheme="minorEastAsia"/>
          <w:sz w:val="24"/>
          <w:u w:val="single"/>
        </w:rPr>
        <w:t>10天</w:t>
      </w:r>
      <w:r>
        <w:rPr>
          <w:rFonts w:hint="eastAsia" w:asciiTheme="minorEastAsia" w:hAnsiTheme="minorEastAsia" w:eastAsiaTheme="minorEastAsia" w:cstheme="minorEastAsia"/>
          <w:sz w:val="24"/>
        </w:rPr>
        <w:t>的，甲方有权解除合同并要求乙方支付</w:t>
      </w:r>
      <w:r>
        <w:rPr>
          <w:rFonts w:hint="eastAsia" w:asciiTheme="minorEastAsia" w:hAnsiTheme="minorEastAsia" w:eastAsiaTheme="minorEastAsia" w:cstheme="minorEastAsia"/>
          <w:sz w:val="24"/>
          <w:u w:val="single"/>
        </w:rPr>
        <w:t>合同价款20%</w:t>
      </w:r>
      <w:r>
        <w:rPr>
          <w:rFonts w:hint="eastAsia" w:asciiTheme="minorEastAsia" w:hAnsiTheme="minorEastAsia" w:eastAsiaTheme="minorEastAsia" w:cstheme="minorEastAsia"/>
          <w:sz w:val="24"/>
        </w:rPr>
        <w:t>的违约金。</w:t>
      </w:r>
    </w:p>
    <w:p>
      <w:pPr>
        <w:tabs>
          <w:tab w:val="left" w:pos="360"/>
        </w:tabs>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9.2乙方交付的货物不符合合同规定的，甲方有权拒收并解除合同，乙方同时应向甲方支付该批货物总额</w:t>
      </w:r>
      <w:r>
        <w:rPr>
          <w:rFonts w:hint="eastAsia" w:asciiTheme="minorEastAsia" w:hAnsiTheme="minorEastAsia" w:eastAsiaTheme="minorEastAsia" w:cstheme="minorEastAsia"/>
          <w:sz w:val="24"/>
          <w:u w:val="single"/>
        </w:rPr>
        <w:t>10%</w:t>
      </w:r>
      <w:r>
        <w:rPr>
          <w:rFonts w:hint="eastAsia" w:asciiTheme="minorEastAsia" w:hAnsiTheme="minorEastAsia" w:eastAsiaTheme="minorEastAsia" w:cstheme="minorEastAsia"/>
          <w:sz w:val="24"/>
        </w:rPr>
        <w:t>的违约金。</w:t>
      </w:r>
    </w:p>
    <w:p>
      <w:pPr>
        <w:tabs>
          <w:tab w:val="left" w:pos="360"/>
        </w:tabs>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9.3因乙方不能按期交货，甲方有权购买其他产品替代该批货物，由此产生的差价损失由乙方支付。</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9.4如发生下列情况之一者，视为乙方严重违约，甲方可以采取相应的措施，并要求乙方承担由此给甲方造成的一切经济损失。</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（1）工期严重滞后，甲方有权单方面终止合同。</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（2）工程质量达不到合同的约定。</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（3）乙方不服从甲方工地代表的调度指挥或不执行甲方的管理规定。</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（4）乙方出现偷工减料行为，经甲方或监理方多次警告后仍未改正，甲方有权单方面解除合同，材料设备必须无条件退场，一切责任由乙方承担。</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（5）乙方将其承包的全部或部分工程分包、转包给他人，则甲方有权单方面终止合同。</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9.5</w:t>
      </w:r>
      <w:r>
        <w:rPr>
          <w:rFonts w:hint="eastAsia" w:asciiTheme="minorEastAsia" w:hAnsiTheme="minorEastAsia" w:eastAsiaTheme="minorEastAsia" w:cstheme="minorEastAsia"/>
          <w:sz w:val="24"/>
          <w:lang w:eastAsia="zh-Hans"/>
        </w:rPr>
        <w:t>本合同</w:t>
      </w:r>
      <w:r>
        <w:rPr>
          <w:rFonts w:hint="eastAsia" w:asciiTheme="minorEastAsia" w:hAnsiTheme="minorEastAsia" w:eastAsiaTheme="minorEastAsia" w:cstheme="minorEastAsia"/>
          <w:sz w:val="24"/>
        </w:rPr>
        <w:t>各项违约金</w:t>
      </w:r>
      <w:r>
        <w:rPr>
          <w:rFonts w:hint="eastAsia" w:asciiTheme="minorEastAsia" w:hAnsiTheme="minorEastAsia" w:eastAsiaTheme="minorEastAsia" w:cstheme="minorEastAsia"/>
          <w:sz w:val="24"/>
          <w:lang w:eastAsia="zh-Hans"/>
        </w:rPr>
        <w:t>及处罚</w:t>
      </w:r>
      <w:r>
        <w:rPr>
          <w:rFonts w:hint="eastAsia" w:asciiTheme="minorEastAsia" w:hAnsiTheme="minorEastAsia" w:eastAsiaTheme="minorEastAsia" w:cstheme="minorEastAsia"/>
          <w:sz w:val="24"/>
        </w:rPr>
        <w:t>，甲方有权从各期工程款中扣除。</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9.6一方违约后，其它方要求违约方继续履行合同时，违约方在承担违约责任后仍应继续履行合同。</w:t>
      </w:r>
    </w:p>
    <w:p>
      <w:pPr>
        <w:adjustRightInd w:val="0"/>
        <w:snapToGrid w:val="0"/>
        <w:spacing w:line="360" w:lineRule="auto"/>
        <w:ind w:firstLine="482" w:firstLineChars="200"/>
        <w:textAlignment w:val="baseline"/>
        <w:outlineLvl w:val="1"/>
        <w:rPr>
          <w:rFonts w:asciiTheme="minorEastAsia" w:hAnsiTheme="minorEastAsia" w:eastAsiaTheme="minorEastAsia" w:cstheme="minorEastAsia"/>
          <w:b/>
          <w:sz w:val="24"/>
        </w:rPr>
      </w:pPr>
      <w:bookmarkStart w:id="499" w:name="_Toc416265844"/>
      <w:bookmarkStart w:id="500" w:name="_Toc416264726"/>
      <w:bookmarkStart w:id="501" w:name="_Toc360696072"/>
      <w:bookmarkStart w:id="502" w:name="_Toc270498309"/>
      <w:r>
        <w:rPr>
          <w:rFonts w:hint="eastAsia" w:asciiTheme="minorEastAsia" w:hAnsiTheme="minorEastAsia" w:eastAsiaTheme="minorEastAsia" w:cstheme="minorEastAsia"/>
          <w:b/>
          <w:sz w:val="24"/>
        </w:rPr>
        <w:t>第十条 合同终止及解除</w:t>
      </w:r>
      <w:bookmarkEnd w:id="499"/>
      <w:bookmarkEnd w:id="500"/>
      <w:bookmarkEnd w:id="501"/>
      <w:bookmarkEnd w:id="502"/>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10.1甲方、乙方协商一致，可以解除本合同。</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10.2因不可抗力致使合同无法履行的，可以解除本合同。</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10.3甲方根据市场需要、工程停建或工程设计修改后，相应的承包工程项目或子项不存在时，甲方可单方面提出解除合同</w:t>
      </w:r>
      <w:r>
        <w:rPr>
          <w:rFonts w:hint="eastAsia" w:asciiTheme="minorEastAsia" w:hAnsiTheme="minorEastAsia" w:eastAsiaTheme="minorEastAsia" w:cstheme="minorEastAsia"/>
          <w:sz w:val="24"/>
          <w:lang w:eastAsia="zh-Hans"/>
        </w:rPr>
        <w:t>或取消相应工作内容并不予补偿</w:t>
      </w:r>
      <w:r>
        <w:rPr>
          <w:rFonts w:hint="eastAsia" w:asciiTheme="minorEastAsia" w:hAnsiTheme="minorEastAsia" w:eastAsiaTheme="minorEastAsia" w:cstheme="minorEastAsia"/>
          <w:sz w:val="24"/>
        </w:rPr>
        <w:t>。</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10.4依据本条第3款而解除合同时，已经订货的设备、材料由订货方负责退货和解除订货合同。</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10.5乙方具有下列违约情形之一的，甲方可以单方解除本合同：</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（1）本合同约定的期限内没有完工，且在甲方或监理催告的合理期限内仍未完工的；</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（2）产品质量不合格，且乙方拒绝修复或修复后仍不合格的；</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（3）未经甲方书面同意，乙方将本工程转包或分包的；</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（4）明确表示或以行为表明不履行合同主要义务的。</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10.6甲方按本条第5款要求解除合同的，应以书面形式向乙方发出解除合同的通知，应在收到甲方解除合同通知之日起20日内将装备撤出施工场地。否则，甲方有权采取强制清场措施并委托有工程评估资格的估价师对乙方已完工程进行评估，该评估报告对三方均有约束力。</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10.7合同解除后，乙方应妥善做好已进入现场的材料、设备的保护和移交工作，在甲方要求的期限内，完成移交手续并将乙方所属机械设备和人员撤出现场。因乙方未完成移交手续擅自撤场时，应赔偿由此给甲方造成的一切损失。乙方撤出现场后开始办理结算手续。</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10.8除合同约定的质量保修外，甲方、乙方履行合同的全部义务，乙方交付竣工工程，结算款支付完毕，本合同即告终止。</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10.9合同终止后，乙方应当履行保修、协助、保密等义务。</w:t>
      </w:r>
    </w:p>
    <w:p>
      <w:pPr>
        <w:adjustRightInd w:val="0"/>
        <w:snapToGrid w:val="0"/>
        <w:spacing w:line="360" w:lineRule="auto"/>
        <w:ind w:firstLine="482" w:firstLineChars="200"/>
        <w:textAlignment w:val="baseline"/>
        <w:outlineLvl w:val="0"/>
        <w:rPr>
          <w:rFonts w:asciiTheme="minorEastAsia" w:hAnsiTheme="minorEastAsia" w:eastAsiaTheme="minorEastAsia" w:cstheme="minorEastAsia"/>
          <w:b/>
          <w:kern w:val="0"/>
          <w:sz w:val="24"/>
        </w:rPr>
      </w:pPr>
      <w:bookmarkStart w:id="503" w:name="_Toc360696073"/>
      <w:bookmarkStart w:id="504" w:name="_Toc416264727"/>
      <w:bookmarkStart w:id="505" w:name="_Toc416265845"/>
      <w:r>
        <w:rPr>
          <w:rFonts w:hint="eastAsia" w:asciiTheme="minorEastAsia" w:hAnsiTheme="minorEastAsia" w:eastAsiaTheme="minorEastAsia" w:cstheme="minorEastAsia"/>
          <w:b/>
          <w:kern w:val="0"/>
          <w:sz w:val="24"/>
        </w:rPr>
        <w:t>第十一条 其他要求【</w:t>
      </w:r>
      <w:r>
        <w:rPr>
          <w:rFonts w:hint="eastAsia" w:asciiTheme="minorEastAsia" w:hAnsiTheme="minorEastAsia" w:eastAsiaTheme="minorEastAsia" w:cstheme="minorEastAsia"/>
          <w:b/>
          <w:kern w:val="0"/>
          <w:sz w:val="24"/>
          <w:lang w:eastAsia="zh-Hans"/>
        </w:rPr>
        <w:t>供货计划、深化图纸</w:t>
      </w:r>
      <w:r>
        <w:rPr>
          <w:rFonts w:hint="eastAsia" w:asciiTheme="minorEastAsia" w:hAnsiTheme="minorEastAsia" w:eastAsiaTheme="minorEastAsia" w:cstheme="minorEastAsia"/>
          <w:b/>
          <w:kern w:val="0"/>
          <w:sz w:val="24"/>
        </w:rPr>
        <w:t>等】</w:t>
      </w:r>
    </w:p>
    <w:p>
      <w:pPr>
        <w:tabs>
          <w:tab w:val="left" w:pos="360"/>
        </w:tabs>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11.1施工期间的水、电由乙方自行与施工总承包单位协商解决，费用自理。</w:t>
      </w:r>
    </w:p>
    <w:p>
      <w:pPr>
        <w:tabs>
          <w:tab w:val="left" w:pos="360"/>
        </w:tabs>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11.2所有尺寸及数量由乙方现场核实。</w:t>
      </w:r>
    </w:p>
    <w:p>
      <w:pPr>
        <w:tabs>
          <w:tab w:val="left" w:pos="360"/>
        </w:tabs>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11.3乙方在签订合同后</w:t>
      </w:r>
      <w:r>
        <w:rPr>
          <w:rFonts w:hint="eastAsia" w:asciiTheme="minorEastAsia" w:hAnsiTheme="minorEastAsia" w:eastAsiaTheme="minorEastAsia" w:cstheme="minorEastAsia"/>
          <w:sz w:val="24"/>
          <w:u w:val="single"/>
        </w:rPr>
        <w:t>10天</w:t>
      </w:r>
      <w:r>
        <w:rPr>
          <w:rFonts w:hint="eastAsia" w:asciiTheme="minorEastAsia" w:hAnsiTheme="minorEastAsia" w:eastAsiaTheme="minorEastAsia" w:cstheme="minorEastAsia"/>
          <w:sz w:val="24"/>
        </w:rPr>
        <w:t>内应向甲方及监理单位上报供货计划，在合同签订后</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天内完成深化图纸的设计；在采购前，乙方须向原设计呈交所有小样样板并得到认可后进行生产。</w:t>
      </w:r>
    </w:p>
    <w:p>
      <w:pPr>
        <w:tabs>
          <w:tab w:val="left" w:pos="360"/>
        </w:tabs>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11.4货物安装前，乙方应及时与甲方、监理单位确认安装轴线、标高等事项，确认后方可安装。</w:t>
      </w:r>
    </w:p>
    <w:p>
      <w:pPr>
        <w:tabs>
          <w:tab w:val="left" w:pos="360"/>
        </w:tabs>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11.5在安装过程中，乙方必须保证施工现场的整洁，做到地面、墙面等均无污染，施工垃圾必须及时清理离场。</w:t>
      </w:r>
    </w:p>
    <w:p>
      <w:pPr>
        <w:tabs>
          <w:tab w:val="left" w:pos="360"/>
        </w:tabs>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11.6所有货物正式移交之前，乙方应已完工程的成品保护工作。如出现损坏、丢失等问题，甲方概不负责。</w:t>
      </w:r>
    </w:p>
    <w:p>
      <w:pPr>
        <w:tabs>
          <w:tab w:val="left" w:pos="360"/>
        </w:tabs>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11.7乙方在项目施工中必须严格遵守相关的法规、规范和甲方的规定，督促现场施工人员规范操作，采取严格有力的安全防护措施，做好安全防护工作（包括施工现场防护等），确保施工安装的人身安全，相关专业技术岗位必须持证上岗，一切安全责任均由乙方自负。</w:t>
      </w:r>
    </w:p>
    <w:p>
      <w:pPr>
        <w:tabs>
          <w:tab w:val="left" w:pos="360"/>
        </w:tabs>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11.8乙方必须遵守政府有关主管部门对施工噪音、环境保护和安全生产等的管理规定，如因乙方的原因，导致投诉及相关部门罚款的，均由乙方负责处理，费用自理。</w:t>
      </w:r>
    </w:p>
    <w:p>
      <w:pPr>
        <w:tabs>
          <w:tab w:val="left" w:pos="360"/>
        </w:tabs>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11.9所有货物安装完成并完工竣工合格后，应及时配合甲方与使用单位协调对接及办理移交手续，移交内容包括但不限于移交清单文件、相关货物编号及照片音像及相关人员会签手续。</w:t>
      </w:r>
    </w:p>
    <w:p>
      <w:pPr>
        <w:tabs>
          <w:tab w:val="left" w:pos="360"/>
        </w:tabs>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11.10如乙方未如实本合同导致甲方受损的，或因乙方履行合同引发与第三人发生纠纷，导致甲方也被牵连涉诉（仲裁）的，除每次应向甲方支付合同价款2%的违约金，并承担甲方为实现债权或主张权利而支付的一切费用（包括但不限于差旅费、资产处置费、诉讼费、仲裁费、律师费、评估鉴定费、保全费、误工费等）。甲方可在未付工程款或履约保证金直接扣除。</w:t>
      </w:r>
    </w:p>
    <w:bookmarkEnd w:id="503"/>
    <w:p>
      <w:pPr>
        <w:spacing w:line="440" w:lineRule="exact"/>
        <w:ind w:firstLine="480" w:firstLineChars="200"/>
        <w:rPr>
          <w:rFonts w:asciiTheme="minorEastAsia" w:hAnsiTheme="minorEastAsia" w:eastAsiaTheme="minorEastAsia" w:cstheme="minorEastAsia"/>
          <w:sz w:val="24"/>
        </w:rPr>
      </w:pPr>
      <w:bookmarkStart w:id="506" w:name="_Toc360696074"/>
      <w:r>
        <w:rPr>
          <w:rFonts w:hint="eastAsia" w:asciiTheme="minorEastAsia" w:hAnsiTheme="minorEastAsia" w:eastAsiaTheme="minorEastAsia" w:cstheme="minorEastAsia"/>
          <w:sz w:val="24"/>
        </w:rPr>
        <w:t>11.11乙方施工不得对建筑工程的主体结构以及其它已完工程造成破坏，施工期间发生的损坏由乙方自费予以修复。</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11.12在施工过程中，乙方为保证施工质量、加快工程进度而采取的各项措施费用已包含在合同总价中，甲方不再另行支付。</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11.13乙方应严格按照国家有关标准和规定进行安装。在设备安装调试期间，如发生人员伤亡等事故，所造成的一切损失或经济赔偿，由乙方全部承担。</w:t>
      </w:r>
    </w:p>
    <w:p>
      <w:pPr>
        <w:spacing w:line="440" w:lineRule="exact"/>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11.14本工程的总包配合费及总包管理费已由建设单位和施工总承包单位在施工总承包合同约定，并按合同支付给施工总承包单位，乙方无需缴纳此费用。如乙方要求提供除下述现有以外的增加配合与服务内容，由乙方与施工总承包单位自行协商相关费用承担与支付，并签订协议报建设单位备案，其费用参考《江苏省建设工程费用定额（2014年）》关于其他项目取费标准及规定中对总承包服务费的约定，乙方自行考虑并计入投标报价中，如乙方与施工总承包单位无法达成一致，乙方必须自行解决并承担所有费用。乙方和施工总承包单位均不得要求建设单位承担任何费用。</w:t>
      </w:r>
    </w:p>
    <w:p>
      <w:pPr>
        <w:spacing w:line="440" w:lineRule="exact"/>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11.15本工程的总承包管理：施工总承包单位必须在监理单位的协调下，根据合同约定做好总包管理工作，乙方无条件接受施工总承包的管理，并做好安全文明施工管理、质量管理、进度管理、签证管理、信息管理、现场协调、现场材料合理布置和看管、消防工作、进场人员的安全技术交底工作并做好民工工资发放检查工作、成品保护、工程资料填写与报验、工序质量验收等工作。</w:t>
      </w:r>
    </w:p>
    <w:p>
      <w:pPr>
        <w:spacing w:line="440" w:lineRule="exact"/>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 xml:space="preserve">11.16本工程的总承包配合：施工总承包单位必须在监理单位的协调下，根据合同约定做好总包配合工作，施工总承包单位无正当理由不得拒绝对乙方的配合工作，即提供现场已有的塔吊、内外墙脚手、垂直运输机械、施工用水电接入（含楼层内、仓库、生活区）、作业面、工程定位、基准线的提供、材料场地、临时仓库、预埋构件位置指定等和必要的临时设施等配合工作（除水电费除外，不得向乙方收取其他费用）。  </w:t>
      </w:r>
    </w:p>
    <w:p>
      <w:pPr>
        <w:adjustRightInd w:val="0"/>
        <w:snapToGrid w:val="0"/>
        <w:spacing w:line="360" w:lineRule="auto"/>
        <w:ind w:firstLine="482" w:firstLineChars="200"/>
        <w:textAlignment w:val="baseline"/>
        <w:outlineLvl w:val="1"/>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第十二条 不可抗力</w:t>
      </w:r>
      <w:bookmarkEnd w:id="504"/>
      <w:bookmarkEnd w:id="505"/>
      <w:bookmarkEnd w:id="506"/>
    </w:p>
    <w:p>
      <w:pPr>
        <w:tabs>
          <w:tab w:val="left" w:pos="360"/>
        </w:tabs>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12.1由于不可抗力因素（指火灾、地震、洪水、战争等）使乙方不能在合同规定的期限内交货时，乙方必须立即以书面形式通知甲方，并以书面形式向甲方提供有关政府机关所出具的不可抗力因素证明。</w:t>
      </w:r>
    </w:p>
    <w:p>
      <w:pPr>
        <w:tabs>
          <w:tab w:val="left" w:pos="360"/>
        </w:tabs>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12.2在不可抗力发生时，乙方应尽快以书面形式将不可抗力的情况和原因通知甲方。除非甲方书面另有要求，乙方应尽可能继续履行合同义务，以及寻求合理的方案履行未受不可抗力影响的其它事项。如因不可抗力导致合同不能履约，并在30天内不能恢复履约，则任何一方可提出终止合同。</w:t>
      </w:r>
    </w:p>
    <w:p>
      <w:pPr>
        <w:suppressAutoHyphens/>
        <w:adjustRightInd w:val="0"/>
        <w:spacing w:line="360" w:lineRule="auto"/>
        <w:ind w:firstLine="482" w:firstLineChars="200"/>
        <w:jc w:val="left"/>
        <w:textAlignment w:val="baseline"/>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第十三条、保险</w:t>
      </w:r>
    </w:p>
    <w:p>
      <w:pPr>
        <w:suppressAutoHyphens/>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13.1本合同下提供的设备应对其在制造、购置、运输、存放及交货过程中的丢失或损坏按合同条款第13.2规定的方式，进行全面保险。</w:t>
      </w:r>
    </w:p>
    <w:p>
      <w:pPr>
        <w:suppressAutoHyphens/>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13. 2设备保险将由乙方办理，支付，以发票金额百分之一百一十（110%）投保一切险。</w:t>
      </w:r>
    </w:p>
    <w:p>
      <w:pPr>
        <w:tabs>
          <w:tab w:val="left" w:pos="1654"/>
        </w:tabs>
        <w:suppressAutoHyphens/>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13.3乙方应对在工地上为货物、系统和材料进行调试、验收协助和试运行测试的乙方包括分包商人员采取必要的人身险及其他有关的险别。</w:t>
      </w:r>
    </w:p>
    <w:p>
      <w:pPr>
        <w:suppressAutoHyphens/>
        <w:adjustRightInd w:val="0"/>
        <w:spacing w:line="360" w:lineRule="auto"/>
        <w:ind w:firstLine="480" w:firstLineChars="200"/>
        <w:jc w:val="left"/>
        <w:textAlignment w:val="baseline"/>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13.4乙方应对所提供的产品投保产品质量保证保险，承担由于产品缺陷造成的所有损失。</w:t>
      </w:r>
    </w:p>
    <w:p>
      <w:pPr>
        <w:adjustRightInd w:val="0"/>
        <w:snapToGrid w:val="0"/>
        <w:spacing w:line="360" w:lineRule="auto"/>
        <w:ind w:firstLine="482" w:firstLineChars="200"/>
        <w:textAlignment w:val="baseline"/>
        <w:outlineLvl w:val="1"/>
        <w:rPr>
          <w:rFonts w:asciiTheme="minorEastAsia" w:hAnsiTheme="minorEastAsia" w:eastAsiaTheme="minorEastAsia" w:cstheme="minorEastAsia"/>
          <w:b/>
          <w:sz w:val="24"/>
        </w:rPr>
      </w:pPr>
      <w:bookmarkStart w:id="507" w:name="_Toc360696077"/>
      <w:bookmarkStart w:id="508" w:name="_Toc416265848"/>
      <w:bookmarkStart w:id="509" w:name="_Toc416264730"/>
      <w:r>
        <w:rPr>
          <w:rFonts w:hint="eastAsia" w:asciiTheme="minorEastAsia" w:hAnsiTheme="minorEastAsia" w:eastAsiaTheme="minorEastAsia" w:cstheme="minorEastAsia"/>
          <w:b/>
          <w:sz w:val="24"/>
        </w:rPr>
        <w:t>第十四条 合同的组成</w:t>
      </w:r>
      <w:bookmarkEnd w:id="507"/>
      <w:bookmarkEnd w:id="508"/>
      <w:bookmarkEnd w:id="509"/>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14.1除合同条款另有说明外，组成本合同的文件及优先解释顺序如下：</w:t>
      </w:r>
    </w:p>
    <w:p>
      <w:pPr>
        <w:tabs>
          <w:tab w:val="left" w:pos="0"/>
        </w:tabs>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（1）本合同签订后双方约定的其它协议</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（2）本合同条款</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（3）中标通知书</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（4）招标文件及其附件</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（5）招标过程中的来往函件</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（6）投标文件及其附件</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（7）标准、规范、法律法规及有关技术文件</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14.2双方签订的有关工程洽商、变更等书面文件均属于本合同的组成部分。</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14.3以上解释顺序相同的文件，若出现矛盾或差异，以最晚签订的书面材料为准。</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14.5当合同文件内容含糊不清或不相一致时，在不影响工程正常进行的情况下，由合同双方协商解决。</w:t>
      </w:r>
    </w:p>
    <w:p>
      <w:pPr>
        <w:adjustRightInd w:val="0"/>
        <w:snapToGrid w:val="0"/>
        <w:spacing w:line="360" w:lineRule="auto"/>
        <w:ind w:firstLine="482" w:firstLineChars="200"/>
        <w:textAlignment w:val="baseline"/>
        <w:outlineLvl w:val="1"/>
        <w:rPr>
          <w:rFonts w:asciiTheme="minorEastAsia" w:hAnsiTheme="minorEastAsia" w:eastAsiaTheme="minorEastAsia" w:cstheme="minorEastAsia"/>
          <w:b/>
          <w:sz w:val="24"/>
        </w:rPr>
      </w:pPr>
      <w:bookmarkStart w:id="510" w:name="_Toc360696080"/>
      <w:bookmarkStart w:id="511" w:name="_Toc416264733"/>
      <w:bookmarkStart w:id="512" w:name="_Toc416265851"/>
      <w:r>
        <w:rPr>
          <w:rFonts w:hint="eastAsia" w:asciiTheme="minorEastAsia" w:hAnsiTheme="minorEastAsia" w:eastAsiaTheme="minorEastAsia" w:cstheme="minorEastAsia"/>
          <w:b/>
          <w:sz w:val="24"/>
        </w:rPr>
        <w:t>第十五条 争议处理</w:t>
      </w:r>
      <w:bookmarkEnd w:id="510"/>
      <w:bookmarkEnd w:id="511"/>
      <w:bookmarkEnd w:id="512"/>
    </w:p>
    <w:p>
      <w:pPr>
        <w:tabs>
          <w:tab w:val="left" w:pos="1820"/>
        </w:tabs>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本合同在履行过程中，如发生争议，双方应通过友好协商解决；协商不成时，任何一方均有权向工程所在地人民法院提起诉讼。</w:t>
      </w:r>
    </w:p>
    <w:p>
      <w:pPr>
        <w:adjustRightInd w:val="0"/>
        <w:snapToGrid w:val="0"/>
        <w:spacing w:line="360" w:lineRule="auto"/>
        <w:ind w:firstLine="482" w:firstLineChars="200"/>
        <w:textAlignment w:val="baseline"/>
        <w:outlineLvl w:val="1"/>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第十六条 甲方项目负责人：</w:t>
      </w:r>
      <w:r>
        <w:rPr>
          <w:rFonts w:hint="eastAsia" w:asciiTheme="minorEastAsia" w:hAnsiTheme="minorEastAsia" w:eastAsiaTheme="minorEastAsia" w:cstheme="minorEastAsia"/>
          <w:b/>
          <w:sz w:val="24"/>
          <w:u w:val="single"/>
        </w:rPr>
        <w:t xml:space="preserve">      （联系电话：          ）</w:t>
      </w:r>
      <w:r>
        <w:rPr>
          <w:rFonts w:hint="eastAsia" w:asciiTheme="minorEastAsia" w:hAnsiTheme="minorEastAsia" w:eastAsiaTheme="minorEastAsia" w:cstheme="minorEastAsia"/>
          <w:b/>
          <w:sz w:val="24"/>
        </w:rPr>
        <w:t>；</w:t>
      </w:r>
    </w:p>
    <w:p>
      <w:pPr>
        <w:adjustRightInd w:val="0"/>
        <w:snapToGrid w:val="0"/>
        <w:spacing w:line="360" w:lineRule="auto"/>
        <w:ind w:firstLine="482" w:firstLineChars="200"/>
        <w:textAlignment w:val="baseline"/>
        <w:outlineLvl w:val="1"/>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乙方项目负责人：</w:t>
      </w:r>
      <w:r>
        <w:rPr>
          <w:rFonts w:hint="eastAsia" w:asciiTheme="minorEastAsia" w:hAnsiTheme="minorEastAsia" w:eastAsiaTheme="minorEastAsia" w:cstheme="minorEastAsia"/>
          <w:b/>
          <w:sz w:val="24"/>
          <w:u w:val="single"/>
        </w:rPr>
        <w:t xml:space="preserve">      （联系电话：          ）</w:t>
      </w:r>
      <w:r>
        <w:rPr>
          <w:rFonts w:hint="eastAsia" w:asciiTheme="minorEastAsia" w:hAnsiTheme="minorEastAsia" w:eastAsiaTheme="minorEastAsia" w:cstheme="minorEastAsia"/>
          <w:b/>
          <w:sz w:val="24"/>
        </w:rPr>
        <w:t>。</w:t>
      </w:r>
    </w:p>
    <w:p>
      <w:pPr>
        <w:adjustRightInd w:val="0"/>
        <w:snapToGrid w:val="0"/>
        <w:spacing w:line="360" w:lineRule="auto"/>
        <w:ind w:firstLine="482" w:firstLineChars="200"/>
        <w:textAlignment w:val="baseline"/>
        <w:outlineLvl w:val="1"/>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第十七条 其它</w:t>
      </w:r>
    </w:p>
    <w:p>
      <w:pPr>
        <w:tabs>
          <w:tab w:val="left" w:pos="1820"/>
        </w:tabs>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17.1本合同壹式陆份，具有同等法律效力，甲、乙双方各持叁份，自双方签字盖章并于乙方按合同要求向甲方提交履约担保之日起生效。</w:t>
      </w:r>
    </w:p>
    <w:p>
      <w:pPr>
        <w:tabs>
          <w:tab w:val="left" w:pos="1820"/>
        </w:tabs>
        <w:adjustRightInd w:val="0"/>
        <w:snapToGrid w:val="0"/>
        <w:spacing w:line="360" w:lineRule="auto"/>
        <w:ind w:firstLine="480" w:firstLineChars="200"/>
        <w:textAlignment w:val="baseline"/>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17.2 本合同未尽事宜，双方可另行协商并签订补充协议，补充协议与本合同具有同等法律效力。</w:t>
      </w:r>
    </w:p>
    <w:p>
      <w:pPr>
        <w:adjustRightInd w:val="0"/>
        <w:snapToGrid w:val="0"/>
        <w:spacing w:line="360" w:lineRule="auto"/>
        <w:ind w:firstLine="480" w:firstLineChars="200"/>
        <w:textAlignment w:val="baseline"/>
        <w:rPr>
          <w:rFonts w:asciiTheme="minorEastAsia" w:hAnsiTheme="minorEastAsia" w:eastAsiaTheme="minorEastAsia" w:cstheme="minorEastAsia"/>
          <w:sz w:val="24"/>
        </w:rPr>
      </w:pPr>
    </w:p>
    <w:p>
      <w:pPr>
        <w:spacing w:line="440" w:lineRule="exact"/>
        <w:rPr>
          <w:rFonts w:ascii="宋体" w:hAnsi="宋体"/>
          <w:sz w:val="24"/>
        </w:rPr>
      </w:pPr>
      <w:r>
        <w:rPr>
          <w:rFonts w:hint="eastAsia" w:ascii="宋体" w:hAnsi="宋体"/>
          <w:sz w:val="24"/>
        </w:rPr>
        <w:t xml:space="preserve">甲方：   （盖章）                        乙方：   （盖章）    </w:t>
      </w:r>
    </w:p>
    <w:p>
      <w:pPr>
        <w:spacing w:line="440" w:lineRule="exact"/>
        <w:rPr>
          <w:rFonts w:ascii="宋体" w:hAnsi="宋体"/>
          <w:sz w:val="24"/>
        </w:rPr>
      </w:pPr>
      <w:r>
        <w:rPr>
          <w:rFonts w:hint="eastAsia" w:ascii="宋体" w:hAnsi="宋体"/>
          <w:sz w:val="24"/>
        </w:rPr>
        <w:t xml:space="preserve">住所：                                   住所：                       </w:t>
      </w:r>
    </w:p>
    <w:p>
      <w:pPr>
        <w:spacing w:line="440" w:lineRule="exact"/>
        <w:rPr>
          <w:rFonts w:ascii="宋体" w:hAnsi="宋体"/>
          <w:sz w:val="24"/>
        </w:rPr>
      </w:pPr>
      <w:r>
        <w:rPr>
          <w:rFonts w:hint="eastAsia" w:ascii="宋体" w:hAnsi="宋体"/>
          <w:sz w:val="24"/>
        </w:rPr>
        <w:t xml:space="preserve">邮政编码：                               邮政编码：                  </w:t>
      </w:r>
    </w:p>
    <w:p>
      <w:pPr>
        <w:spacing w:line="440" w:lineRule="exact"/>
        <w:rPr>
          <w:rFonts w:ascii="宋体" w:hAnsi="宋体"/>
          <w:sz w:val="24"/>
        </w:rPr>
      </w:pPr>
      <w:r>
        <w:rPr>
          <w:rFonts w:hint="eastAsia" w:ascii="宋体" w:hAnsi="宋体"/>
          <w:sz w:val="24"/>
        </w:rPr>
        <w:t xml:space="preserve">法定代表人或授权代理人：（签字）         法定代表人或授权代理人：（签字）  </w:t>
      </w:r>
    </w:p>
    <w:p>
      <w:pPr>
        <w:spacing w:line="440" w:lineRule="exact"/>
        <w:rPr>
          <w:rFonts w:ascii="宋体" w:hAnsi="宋体"/>
          <w:sz w:val="24"/>
        </w:rPr>
      </w:pPr>
      <w:r>
        <w:rPr>
          <w:rFonts w:hint="eastAsia" w:ascii="宋体" w:hAnsi="宋体"/>
          <w:sz w:val="24"/>
        </w:rPr>
        <w:t xml:space="preserve">                                        </w:t>
      </w:r>
    </w:p>
    <w:p>
      <w:pPr>
        <w:spacing w:line="440" w:lineRule="exact"/>
        <w:rPr>
          <w:rFonts w:ascii="宋体" w:hAnsi="宋体"/>
          <w:sz w:val="24"/>
        </w:rPr>
      </w:pPr>
      <w:r>
        <w:rPr>
          <w:rFonts w:hint="eastAsia" w:ascii="宋体" w:hAnsi="宋体"/>
          <w:sz w:val="24"/>
        </w:rPr>
        <w:t xml:space="preserve">开户银行：                               开户银行：                  </w:t>
      </w:r>
    </w:p>
    <w:p>
      <w:pPr>
        <w:spacing w:line="440" w:lineRule="exact"/>
        <w:rPr>
          <w:rFonts w:ascii="宋体" w:hAnsi="宋体"/>
          <w:sz w:val="24"/>
        </w:rPr>
      </w:pPr>
      <w:r>
        <w:rPr>
          <w:rFonts w:hint="eastAsia" w:ascii="宋体" w:hAnsi="宋体"/>
          <w:sz w:val="24"/>
        </w:rPr>
        <w:t xml:space="preserve">账号：                                   账号：                         </w:t>
      </w:r>
    </w:p>
    <w:p>
      <w:pPr>
        <w:spacing w:line="440" w:lineRule="exact"/>
        <w:rPr>
          <w:rFonts w:ascii="宋体" w:hAnsi="宋体"/>
          <w:sz w:val="24"/>
        </w:rPr>
      </w:pPr>
      <w:r>
        <w:rPr>
          <w:rFonts w:hint="eastAsia" w:ascii="宋体" w:hAnsi="宋体"/>
          <w:sz w:val="24"/>
        </w:rPr>
        <w:t xml:space="preserve">电话：                                   电话：                       </w:t>
      </w:r>
    </w:p>
    <w:p>
      <w:pPr>
        <w:spacing w:line="440" w:lineRule="exact"/>
        <w:rPr>
          <w:rFonts w:ascii="宋体" w:hAnsi="宋体"/>
          <w:sz w:val="24"/>
        </w:rPr>
      </w:pPr>
      <w:r>
        <w:rPr>
          <w:rFonts w:hint="eastAsia" w:ascii="宋体" w:hAnsi="宋体"/>
          <w:sz w:val="24"/>
        </w:rPr>
        <w:t xml:space="preserve">传真：                                   传真：                       </w:t>
      </w:r>
    </w:p>
    <w:p>
      <w:pPr>
        <w:spacing w:line="440" w:lineRule="exact"/>
        <w:rPr>
          <w:rFonts w:ascii="宋体" w:hAnsi="宋体"/>
          <w:sz w:val="24"/>
        </w:rPr>
      </w:pPr>
      <w:r>
        <w:rPr>
          <w:rFonts w:hint="eastAsia" w:ascii="宋体" w:hAnsi="宋体"/>
          <w:sz w:val="24"/>
        </w:rPr>
        <w:t xml:space="preserve">电子邮箱：                               电子邮箱：                  </w:t>
      </w:r>
    </w:p>
    <w:p>
      <w:pPr>
        <w:spacing w:line="440" w:lineRule="exact"/>
        <w:rPr>
          <w:rFonts w:ascii="宋体" w:hAnsi="宋体"/>
          <w:sz w:val="24"/>
        </w:rPr>
      </w:pPr>
    </w:p>
    <w:p>
      <w:pPr>
        <w:spacing w:line="440" w:lineRule="exact"/>
        <w:rPr>
          <w:rFonts w:ascii="宋体" w:hAnsi="宋体"/>
          <w:sz w:val="24"/>
        </w:rPr>
      </w:pPr>
      <w:r>
        <w:rPr>
          <w:rFonts w:hint="eastAsia" w:ascii="宋体" w:hAnsi="宋体"/>
          <w:sz w:val="24"/>
        </w:rPr>
        <w:t xml:space="preserve">                                                      </w:t>
      </w:r>
    </w:p>
    <w:p>
      <w:pPr>
        <w:spacing w:line="440" w:lineRule="exact"/>
        <w:ind w:firstLine="6720" w:firstLineChars="2800"/>
        <w:rPr>
          <w:rFonts w:ascii="宋体" w:hAnsi="宋体"/>
          <w:sz w:val="24"/>
        </w:rPr>
      </w:pPr>
      <w:r>
        <w:rPr>
          <w:rFonts w:hint="eastAsia" w:ascii="宋体" w:hAnsi="宋体"/>
          <w:sz w:val="24"/>
        </w:rPr>
        <w:t xml:space="preserve"> 年    月   日</w:t>
      </w:r>
    </w:p>
    <w:p>
      <w:pPr>
        <w:adjustRightInd w:val="0"/>
        <w:spacing w:line="360" w:lineRule="auto"/>
        <w:textAlignment w:val="baseline"/>
        <w:rPr>
          <w:rFonts w:asciiTheme="minorEastAsia" w:hAnsiTheme="minorEastAsia" w:eastAsiaTheme="minorEastAsia" w:cstheme="minorEastAsia"/>
          <w:b/>
          <w:bCs/>
          <w:sz w:val="24"/>
          <w:szCs w:val="20"/>
        </w:rPr>
      </w:pPr>
      <w:r>
        <w:rPr>
          <w:rFonts w:hint="eastAsia" w:asciiTheme="minorEastAsia" w:hAnsiTheme="minorEastAsia" w:eastAsiaTheme="minorEastAsia" w:cstheme="minorEastAsia"/>
          <w:b/>
          <w:bCs/>
          <w:sz w:val="24"/>
          <w:szCs w:val="20"/>
        </w:rPr>
        <w:br w:type="page"/>
      </w:r>
    </w:p>
    <w:p>
      <w:pPr>
        <w:adjustRightInd w:val="0"/>
        <w:spacing w:line="360" w:lineRule="auto"/>
        <w:ind w:firstLine="482" w:firstLineChars="200"/>
        <w:textAlignment w:val="baseline"/>
        <w:rPr>
          <w:rFonts w:asciiTheme="minorEastAsia" w:hAnsiTheme="minorEastAsia" w:eastAsiaTheme="minorEastAsia" w:cstheme="minorEastAsia"/>
          <w:b/>
          <w:bCs/>
          <w:sz w:val="24"/>
          <w:szCs w:val="20"/>
        </w:rPr>
      </w:pPr>
      <w:r>
        <w:rPr>
          <w:rFonts w:hint="eastAsia" w:asciiTheme="minorEastAsia" w:hAnsiTheme="minorEastAsia" w:eastAsiaTheme="minorEastAsia" w:cstheme="minorEastAsia"/>
          <w:b/>
          <w:bCs/>
          <w:sz w:val="24"/>
          <w:szCs w:val="20"/>
        </w:rPr>
        <w:t>附件1：</w:t>
      </w:r>
    </w:p>
    <w:p>
      <w:pPr>
        <w:adjustRightInd w:val="0"/>
        <w:spacing w:line="360" w:lineRule="auto"/>
        <w:ind w:firstLine="562" w:firstLineChars="200"/>
        <w:jc w:val="center"/>
        <w:textAlignment w:val="baseline"/>
        <w:rPr>
          <w:rFonts w:asciiTheme="minorEastAsia" w:hAnsiTheme="minorEastAsia" w:eastAsiaTheme="minorEastAsia" w:cstheme="minorEastAsia"/>
          <w:sz w:val="24"/>
          <w:szCs w:val="20"/>
          <w:u w:val="single"/>
        </w:rPr>
      </w:pPr>
      <w:r>
        <w:rPr>
          <w:rFonts w:hint="eastAsia" w:asciiTheme="minorEastAsia" w:hAnsiTheme="minorEastAsia" w:eastAsiaTheme="minorEastAsia" w:cstheme="minorEastAsia"/>
          <w:b/>
          <w:sz w:val="28"/>
          <w:szCs w:val="20"/>
        </w:rPr>
        <w:t>履约担保</w:t>
      </w:r>
    </w:p>
    <w:p>
      <w:pPr>
        <w:adjustRightInd w:val="0"/>
        <w:spacing w:line="360" w:lineRule="auto"/>
        <w:ind w:firstLine="420" w:firstLineChars="200"/>
        <w:textAlignment w:val="baseline"/>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rPr>
        <w:t xml:space="preserve"> （发包人名称）：</w:t>
      </w:r>
    </w:p>
    <w:p>
      <w:pPr>
        <w:adjustRightInd w:val="0"/>
        <w:spacing w:line="360" w:lineRule="auto"/>
        <w:ind w:firstLine="420" w:firstLineChars="200"/>
        <w:textAlignment w:val="baseline"/>
        <w:rPr>
          <w:rFonts w:asciiTheme="minorEastAsia" w:hAnsiTheme="minorEastAsia" w:eastAsiaTheme="minorEastAsia" w:cstheme="minorEastAsia"/>
          <w:szCs w:val="21"/>
        </w:rPr>
      </w:pPr>
    </w:p>
    <w:p>
      <w:pPr>
        <w:adjustRightInd w:val="0"/>
        <w:spacing w:line="360" w:lineRule="auto"/>
        <w:ind w:firstLine="420" w:firstLineChars="200"/>
        <w:textAlignment w:val="baseline"/>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鉴于（发包人名称）（以下简称“发包人”）与（承包人名称）（以下称“承包人”）于年月日签订的（项目名称）及有关事项协商一致共同签订《采购合同》。我方愿意无条件地、不可撤销地就承包人履行与你方签订的合同，向你方提供连带责任担保。</w:t>
      </w:r>
    </w:p>
    <w:p>
      <w:pPr>
        <w:adjustRightInd w:val="0"/>
        <w:spacing w:line="360" w:lineRule="auto"/>
        <w:ind w:firstLine="420" w:firstLineChars="200"/>
        <w:textAlignment w:val="baseline"/>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1、担保金额人民币（大写）</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元（¥</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w:t>
      </w:r>
    </w:p>
    <w:p>
      <w:pPr>
        <w:adjustRightInd w:val="0"/>
        <w:spacing w:line="360" w:lineRule="auto"/>
        <w:ind w:firstLine="420" w:firstLineChars="200"/>
        <w:textAlignment w:val="baseline"/>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2、担保有效期自你方与承包人签订的合同生效之日起至你方签发或应签发工程接收证书之日止。</w:t>
      </w:r>
    </w:p>
    <w:p>
      <w:pPr>
        <w:adjustRightInd w:val="0"/>
        <w:spacing w:line="360" w:lineRule="auto"/>
        <w:ind w:firstLine="420" w:firstLineChars="200"/>
        <w:textAlignment w:val="baseline"/>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3、在本担保有效期内，因承包人违反合同约定的义务给你方造成经济损失时，我方在收到你方以书面形式提出的在担保金额内的赔偿要求后，在7天内无条件支付。</w:t>
      </w:r>
    </w:p>
    <w:p>
      <w:pPr>
        <w:adjustRightInd w:val="0"/>
        <w:spacing w:line="360" w:lineRule="auto"/>
        <w:ind w:firstLine="420" w:firstLineChars="200"/>
        <w:textAlignment w:val="baseline"/>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4、你方和承包人按合同约定变更合同时，我方承担本担保规定的义务不变。</w:t>
      </w:r>
    </w:p>
    <w:p>
      <w:pPr>
        <w:adjustRightInd w:val="0"/>
        <w:spacing w:line="360" w:lineRule="auto"/>
        <w:ind w:firstLine="420" w:firstLineChars="200"/>
        <w:textAlignment w:val="baseline"/>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5、因本保函发生的纠纷，可由双方协商解决，协商不成的，任何一方均可提请</w:t>
      </w:r>
      <w:r>
        <w:rPr>
          <w:rFonts w:hint="eastAsia" w:asciiTheme="minorEastAsia" w:hAnsiTheme="minorEastAsia" w:eastAsiaTheme="minorEastAsia" w:cstheme="minorEastAsia"/>
          <w:szCs w:val="21"/>
          <w:u w:val="single"/>
        </w:rPr>
        <w:t xml:space="preserve"> 工程所在地 </w:t>
      </w:r>
      <w:r>
        <w:rPr>
          <w:rFonts w:hint="eastAsia" w:asciiTheme="minorEastAsia" w:hAnsiTheme="minorEastAsia" w:eastAsiaTheme="minorEastAsia" w:cstheme="minorEastAsia"/>
          <w:szCs w:val="21"/>
        </w:rPr>
        <w:t>诉讼。</w:t>
      </w:r>
    </w:p>
    <w:p>
      <w:pPr>
        <w:adjustRightInd w:val="0"/>
        <w:spacing w:line="360" w:lineRule="auto"/>
        <w:ind w:firstLine="420" w:firstLineChars="200"/>
        <w:textAlignment w:val="baseline"/>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6、本保函自我方法定代表人签字并加盖公章之日起生效。</w:t>
      </w:r>
    </w:p>
    <w:p>
      <w:pPr>
        <w:adjustRightInd w:val="0"/>
        <w:spacing w:line="360" w:lineRule="auto"/>
        <w:ind w:firstLine="420" w:firstLineChars="200"/>
        <w:textAlignment w:val="baseline"/>
        <w:rPr>
          <w:rFonts w:asciiTheme="minorEastAsia" w:hAnsiTheme="minorEastAsia" w:eastAsiaTheme="minorEastAsia" w:cstheme="minorEastAsia"/>
          <w:szCs w:val="21"/>
        </w:rPr>
      </w:pPr>
    </w:p>
    <w:p>
      <w:pPr>
        <w:adjustRightInd w:val="0"/>
        <w:spacing w:line="360" w:lineRule="auto"/>
        <w:ind w:firstLine="420" w:firstLineChars="200"/>
        <w:textAlignment w:val="baseline"/>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担保人：（盖单位章）</w:t>
      </w:r>
    </w:p>
    <w:p>
      <w:pPr>
        <w:adjustRightInd w:val="0"/>
        <w:spacing w:line="360" w:lineRule="auto"/>
        <w:ind w:firstLine="420" w:firstLineChars="200"/>
        <w:textAlignment w:val="baseline"/>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法定代表人或其委托代理人：（签字）</w:t>
      </w:r>
    </w:p>
    <w:p>
      <w:pPr>
        <w:adjustRightInd w:val="0"/>
        <w:spacing w:line="360" w:lineRule="auto"/>
        <w:ind w:firstLine="420" w:firstLineChars="200"/>
        <w:textAlignment w:val="baseline"/>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    址：</w:t>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ab/>
      </w:r>
    </w:p>
    <w:p>
      <w:pPr>
        <w:adjustRightInd w:val="0"/>
        <w:spacing w:line="360" w:lineRule="auto"/>
        <w:ind w:firstLine="420" w:firstLineChars="200"/>
        <w:textAlignment w:val="baseline"/>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邮政编码：</w:t>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ab/>
      </w:r>
    </w:p>
    <w:p>
      <w:pPr>
        <w:adjustRightInd w:val="0"/>
        <w:spacing w:line="360" w:lineRule="auto"/>
        <w:ind w:firstLine="420" w:firstLineChars="200"/>
        <w:textAlignment w:val="baseline"/>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电    话：</w:t>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ab/>
      </w:r>
    </w:p>
    <w:p>
      <w:pPr>
        <w:adjustRightInd w:val="0"/>
        <w:spacing w:line="360" w:lineRule="auto"/>
        <w:ind w:firstLine="420" w:firstLineChars="200"/>
        <w:textAlignment w:val="baseline"/>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传    真：</w:t>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ab/>
      </w:r>
    </w:p>
    <w:p>
      <w:pPr>
        <w:adjustRightInd w:val="0"/>
        <w:spacing w:line="360" w:lineRule="auto"/>
        <w:ind w:firstLine="420" w:firstLineChars="200"/>
        <w:textAlignment w:val="baseline"/>
        <w:rPr>
          <w:rFonts w:asciiTheme="minorEastAsia" w:hAnsiTheme="minorEastAsia" w:eastAsiaTheme="minorEastAsia" w:cstheme="minorEastAsia"/>
          <w:szCs w:val="21"/>
        </w:rPr>
      </w:pPr>
    </w:p>
    <w:p>
      <w:pPr>
        <w:adjustRightInd w:val="0"/>
        <w:spacing w:line="360" w:lineRule="auto"/>
        <w:ind w:firstLine="420" w:firstLineChars="200"/>
        <w:textAlignment w:val="baseline"/>
        <w:rPr>
          <w:rFonts w:asciiTheme="minorEastAsia" w:hAnsiTheme="minorEastAsia" w:eastAsiaTheme="minorEastAsia" w:cstheme="minorEastAsia"/>
          <w:szCs w:val="21"/>
          <w:u w:val="single"/>
        </w:rPr>
      </w:pPr>
    </w:p>
    <w:p>
      <w:pPr>
        <w:adjustRightInd w:val="0"/>
        <w:spacing w:line="360" w:lineRule="auto"/>
        <w:ind w:firstLine="420" w:firstLineChars="200"/>
        <w:textAlignment w:val="baseline"/>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年    月    日</w:t>
      </w:r>
    </w:p>
    <w:p>
      <w:pPr>
        <w:adjustRightInd w:val="0"/>
        <w:spacing w:line="360" w:lineRule="auto"/>
        <w:ind w:firstLine="420" w:firstLineChars="200"/>
        <w:textAlignment w:val="baseline"/>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Cs w:val="21"/>
        </w:rPr>
        <w:br w:type="page"/>
      </w:r>
      <w:r>
        <w:rPr>
          <w:rFonts w:hint="eastAsia" w:asciiTheme="minorEastAsia" w:hAnsiTheme="minorEastAsia" w:eastAsiaTheme="minorEastAsia" w:cstheme="minorEastAsia"/>
          <w:b/>
          <w:bCs/>
          <w:sz w:val="24"/>
          <w:szCs w:val="20"/>
        </w:rPr>
        <w:t>附件2 ：</w:t>
      </w:r>
    </w:p>
    <w:p>
      <w:pPr>
        <w:adjustRightInd w:val="0"/>
        <w:spacing w:line="360" w:lineRule="auto"/>
        <w:ind w:firstLine="562" w:firstLineChars="200"/>
        <w:jc w:val="center"/>
        <w:textAlignment w:val="baseline"/>
        <w:rPr>
          <w:rFonts w:asciiTheme="minorEastAsia" w:hAnsiTheme="minorEastAsia" w:eastAsiaTheme="minorEastAsia" w:cstheme="minorEastAsia"/>
          <w:sz w:val="24"/>
          <w:szCs w:val="20"/>
          <w:u w:val="single"/>
        </w:rPr>
      </w:pPr>
      <w:r>
        <w:rPr>
          <w:rFonts w:hint="eastAsia" w:asciiTheme="minorEastAsia" w:hAnsiTheme="minorEastAsia" w:eastAsiaTheme="minorEastAsia" w:cstheme="minorEastAsia"/>
          <w:b/>
          <w:sz w:val="28"/>
          <w:szCs w:val="20"/>
        </w:rPr>
        <w:t>预付款担保</w:t>
      </w:r>
    </w:p>
    <w:p>
      <w:pPr>
        <w:adjustRightInd w:val="0"/>
        <w:spacing w:line="360" w:lineRule="auto"/>
        <w:ind w:firstLine="420" w:firstLineChars="200"/>
        <w:textAlignment w:val="baseline"/>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（发包人名称）：</w:t>
      </w:r>
    </w:p>
    <w:p>
      <w:pPr>
        <w:adjustRightInd w:val="0"/>
        <w:spacing w:line="360" w:lineRule="auto"/>
        <w:ind w:firstLine="420" w:firstLineChars="200"/>
        <w:textAlignment w:val="baseline"/>
        <w:rPr>
          <w:rFonts w:asciiTheme="minorEastAsia" w:hAnsiTheme="minorEastAsia" w:eastAsiaTheme="minorEastAsia" w:cstheme="minorEastAsia"/>
          <w:szCs w:val="21"/>
        </w:rPr>
      </w:pPr>
    </w:p>
    <w:p>
      <w:pPr>
        <w:adjustRightInd w:val="0"/>
        <w:spacing w:line="360" w:lineRule="auto"/>
        <w:ind w:firstLine="420" w:firstLineChars="200"/>
        <w:textAlignment w:val="baseline"/>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根据（承包人名称）（以下称“承包人”）与（发包人名称）（以下简称“发包人”）</w:t>
      </w:r>
    </w:p>
    <w:p>
      <w:pPr>
        <w:adjustRightInd w:val="0"/>
        <w:spacing w:line="360" w:lineRule="auto"/>
        <w:ind w:firstLine="420" w:firstLineChars="200"/>
        <w:textAlignment w:val="baseline"/>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于年月日签订的（项目名称）《采购合同》，承包人按约定的金额向你方提交一份预付款担保，即有权得到你方支付相等金额的预付款。才我方愿意就你方提供给承包人的预付款为承包人提供连带责任担保。</w:t>
      </w:r>
    </w:p>
    <w:p>
      <w:pPr>
        <w:adjustRightInd w:val="0"/>
        <w:spacing w:line="360" w:lineRule="auto"/>
        <w:ind w:firstLine="420" w:firstLineChars="200"/>
        <w:textAlignment w:val="baseline"/>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 担保金额人民币（大写）元（¥）。</w:t>
      </w:r>
    </w:p>
    <w:p>
      <w:pPr>
        <w:adjustRightInd w:val="0"/>
        <w:spacing w:line="360" w:lineRule="auto"/>
        <w:ind w:firstLine="420" w:firstLineChars="200"/>
        <w:textAlignment w:val="baseline"/>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 担保有效期自预付款支付给承包人起生效，至你方签发的进度款支付证书说明已完全扣清止。</w:t>
      </w:r>
    </w:p>
    <w:p>
      <w:pPr>
        <w:adjustRightInd w:val="0"/>
        <w:spacing w:line="360" w:lineRule="auto"/>
        <w:ind w:firstLine="420" w:firstLineChars="200"/>
        <w:textAlignment w:val="baseline"/>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adjustRightInd w:val="0"/>
        <w:spacing w:line="360" w:lineRule="auto"/>
        <w:ind w:firstLine="420" w:firstLineChars="200"/>
        <w:textAlignment w:val="baseline"/>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 你方和承包人按合同约定变更合同时，我方承担本保函规定的义务不变。</w:t>
      </w:r>
    </w:p>
    <w:p>
      <w:pPr>
        <w:adjustRightInd w:val="0"/>
        <w:spacing w:line="360" w:lineRule="auto"/>
        <w:ind w:firstLine="420" w:firstLineChars="200"/>
        <w:textAlignment w:val="baseline"/>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 因本保函发生的纠纷，可由双方协商解决，协商不成的，任何一方均可提请</w:t>
      </w:r>
      <w:r>
        <w:rPr>
          <w:rFonts w:hint="eastAsia" w:asciiTheme="minorEastAsia" w:hAnsiTheme="minorEastAsia" w:eastAsiaTheme="minorEastAsia" w:cstheme="minorEastAsia"/>
          <w:szCs w:val="21"/>
          <w:u w:val="single"/>
        </w:rPr>
        <w:t xml:space="preserve">工程所在地 </w:t>
      </w:r>
      <w:r>
        <w:rPr>
          <w:rFonts w:hint="eastAsia" w:asciiTheme="minorEastAsia" w:hAnsiTheme="minorEastAsia" w:eastAsiaTheme="minorEastAsia" w:cstheme="minorEastAsia"/>
          <w:szCs w:val="21"/>
        </w:rPr>
        <w:t>诉讼。</w:t>
      </w:r>
    </w:p>
    <w:p>
      <w:pPr>
        <w:adjustRightInd w:val="0"/>
        <w:spacing w:line="360" w:lineRule="auto"/>
        <w:ind w:firstLine="420" w:firstLineChars="200"/>
        <w:textAlignment w:val="baseline"/>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 本保函自我方法定代表人（或其授权代理人）签字并加盖公章之日起生效。</w:t>
      </w:r>
    </w:p>
    <w:p>
      <w:pPr>
        <w:adjustRightInd w:val="0"/>
        <w:spacing w:line="360" w:lineRule="auto"/>
        <w:ind w:firstLine="420" w:firstLineChars="200"/>
        <w:textAlignment w:val="baseline"/>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担保人：（盖单位章）</w:t>
      </w:r>
    </w:p>
    <w:p>
      <w:pPr>
        <w:adjustRightInd w:val="0"/>
        <w:spacing w:line="360" w:lineRule="auto"/>
        <w:ind w:firstLine="420" w:firstLineChars="200"/>
        <w:textAlignment w:val="baseline"/>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法定代表人或其委托代理人：（签字）</w:t>
      </w:r>
    </w:p>
    <w:p>
      <w:pPr>
        <w:adjustRightInd w:val="0"/>
        <w:spacing w:line="360" w:lineRule="auto"/>
        <w:ind w:firstLine="420" w:firstLineChars="200"/>
        <w:textAlignment w:val="baseline"/>
        <w:rPr>
          <w:rFonts w:asciiTheme="minorEastAsia" w:hAnsiTheme="minorEastAsia" w:eastAsiaTheme="minorEastAsia" w:cstheme="minorEastAsia"/>
          <w:szCs w:val="21"/>
        </w:rPr>
      </w:pPr>
    </w:p>
    <w:p>
      <w:pPr>
        <w:adjustRightInd w:val="0"/>
        <w:spacing w:line="360" w:lineRule="auto"/>
        <w:ind w:firstLine="420" w:firstLineChars="200"/>
        <w:textAlignment w:val="baseline"/>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    址：</w:t>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ab/>
      </w:r>
    </w:p>
    <w:p>
      <w:pPr>
        <w:adjustRightInd w:val="0"/>
        <w:spacing w:line="360" w:lineRule="auto"/>
        <w:ind w:firstLine="420" w:firstLineChars="200"/>
        <w:textAlignment w:val="baseline"/>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邮政编码：</w:t>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ab/>
      </w:r>
    </w:p>
    <w:p>
      <w:pPr>
        <w:adjustRightInd w:val="0"/>
        <w:spacing w:line="360" w:lineRule="auto"/>
        <w:ind w:firstLine="420" w:firstLineChars="200"/>
        <w:textAlignment w:val="baseline"/>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电    话：</w:t>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ab/>
      </w:r>
    </w:p>
    <w:p>
      <w:pPr>
        <w:adjustRightInd w:val="0"/>
        <w:spacing w:line="360" w:lineRule="auto"/>
        <w:ind w:firstLine="420" w:firstLineChars="200"/>
        <w:textAlignment w:val="baseline"/>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传    真：</w:t>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ab/>
      </w:r>
    </w:p>
    <w:p>
      <w:pPr>
        <w:adjustRightInd w:val="0"/>
        <w:spacing w:line="360" w:lineRule="auto"/>
        <w:ind w:firstLine="420" w:firstLineChars="200"/>
        <w:textAlignment w:val="baseline"/>
        <w:rPr>
          <w:rFonts w:asciiTheme="minorEastAsia" w:hAnsiTheme="minorEastAsia" w:eastAsiaTheme="minorEastAsia" w:cstheme="minorEastAsia"/>
          <w:szCs w:val="21"/>
          <w:u w:val="single"/>
        </w:rPr>
      </w:pPr>
    </w:p>
    <w:p>
      <w:pPr>
        <w:adjustRightInd w:val="0"/>
        <w:spacing w:line="360" w:lineRule="auto"/>
        <w:ind w:firstLine="420" w:firstLineChars="200"/>
        <w:textAlignment w:val="baseline"/>
        <w:rPr>
          <w:rFonts w:asciiTheme="minorEastAsia" w:hAnsiTheme="minorEastAsia" w:eastAsiaTheme="minorEastAsia" w:cstheme="minorEastAsia"/>
          <w:szCs w:val="21"/>
        </w:rPr>
        <w:sectPr>
          <w:headerReference r:id="rId10" w:type="first"/>
          <w:footerReference r:id="rId12" w:type="first"/>
          <w:headerReference r:id="rId9" w:type="default"/>
          <w:footerReference r:id="rId11" w:type="default"/>
          <w:pgSz w:w="11907" w:h="16840"/>
          <w:pgMar w:top="1440" w:right="1559" w:bottom="1440" w:left="1559" w:header="851" w:footer="851" w:gutter="0"/>
          <w:cols w:space="720" w:num="1"/>
          <w:titlePg/>
          <w:docGrid w:type="lines" w:linePitch="312" w:charSpace="0"/>
        </w:sectPr>
      </w:pPr>
      <w:r>
        <w:rPr>
          <w:rFonts w:hint="eastAsia" w:asciiTheme="minorEastAsia" w:hAnsiTheme="minorEastAsia" w:eastAsiaTheme="minorEastAsia" w:cstheme="minorEastAsia"/>
          <w:szCs w:val="21"/>
        </w:rPr>
        <w:t xml:space="preserve">    年   月   日</w:t>
      </w:r>
    </w:p>
    <w:p>
      <w:pPr>
        <w:adjustRightInd w:val="0"/>
        <w:snapToGrid w:val="0"/>
        <w:spacing w:line="360" w:lineRule="auto"/>
        <w:ind w:firstLine="482" w:firstLineChars="200"/>
        <w:textAlignment w:val="baseline"/>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 xml:space="preserve">附件3：  </w:t>
      </w:r>
    </w:p>
    <w:p>
      <w:pPr>
        <w:widowControl/>
        <w:adjustRightInd w:val="0"/>
        <w:snapToGrid w:val="0"/>
        <w:spacing w:line="360" w:lineRule="auto"/>
        <w:ind w:firstLine="562" w:firstLineChars="200"/>
        <w:jc w:val="center"/>
        <w:textAlignment w:val="baseline"/>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28"/>
          <w:szCs w:val="28"/>
        </w:rPr>
        <w:t>廉  洁  协  议</w:t>
      </w:r>
    </w:p>
    <w:p>
      <w:pPr>
        <w:widowControl/>
        <w:adjustRightInd w:val="0"/>
        <w:snapToGrid w:val="0"/>
        <w:spacing w:line="360" w:lineRule="auto"/>
        <w:ind w:firstLine="420" w:firstLineChars="200"/>
        <w:textAlignment w:val="baseline"/>
        <w:rPr>
          <w:rFonts w:asciiTheme="minorEastAsia" w:hAnsiTheme="minorEastAsia" w:eastAsiaTheme="minorEastAsia" w:cstheme="minorEastAsia"/>
          <w:b/>
          <w:szCs w:val="21"/>
        </w:rPr>
      </w:pPr>
      <w:r>
        <w:rPr>
          <w:rFonts w:hint="eastAsia" w:asciiTheme="minorEastAsia" w:hAnsiTheme="minorEastAsia" w:eastAsiaTheme="minorEastAsia" w:cstheme="minorEastAsia"/>
          <w:szCs w:val="21"/>
        </w:rPr>
        <w:t>甲方：</w:t>
      </w:r>
      <w:r>
        <w:rPr>
          <w:rFonts w:hint="eastAsia" w:asciiTheme="minorEastAsia" w:hAnsiTheme="minorEastAsia" w:eastAsiaTheme="minorEastAsia" w:cstheme="minorEastAsia"/>
          <w:szCs w:val="21"/>
          <w:u w:val="single"/>
        </w:rPr>
        <w:t xml:space="preserve">                          </w:t>
      </w:r>
    </w:p>
    <w:p>
      <w:pPr>
        <w:adjustRightInd w:val="0"/>
        <w:snapToGrid w:val="0"/>
        <w:spacing w:line="360" w:lineRule="auto"/>
        <w:ind w:firstLine="420" w:firstLineChars="200"/>
        <w:textAlignment w:val="baseline"/>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乙方：</w:t>
      </w:r>
      <w:r>
        <w:rPr>
          <w:rFonts w:hint="eastAsia" w:asciiTheme="minorEastAsia" w:hAnsiTheme="minorEastAsia" w:eastAsiaTheme="minorEastAsia" w:cstheme="minorEastAsia"/>
          <w:szCs w:val="21"/>
          <w:u w:val="single"/>
        </w:rPr>
        <w:t xml:space="preserve">                          </w:t>
      </w:r>
    </w:p>
    <w:p>
      <w:pPr>
        <w:adjustRightInd w:val="0"/>
        <w:snapToGrid w:val="0"/>
        <w:spacing w:line="360" w:lineRule="auto"/>
        <w:ind w:firstLine="420" w:firstLineChars="200"/>
        <w:textAlignment w:val="baseline"/>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为了在工程建设中保持廉洁自律的风气，防止各种不正当行为的发生，根据国家和省、市有关建设工程承发包和廉政建设的各项规定，结合工程建设的特点，特订立本协议如下：</w:t>
      </w:r>
    </w:p>
    <w:p>
      <w:pPr>
        <w:numPr>
          <w:ilvl w:val="0"/>
          <w:numId w:val="8"/>
        </w:numPr>
        <w:adjustRightInd w:val="0"/>
        <w:snapToGrid w:val="0"/>
        <w:spacing w:line="360" w:lineRule="auto"/>
        <w:ind w:firstLine="420" w:firstLineChars="200"/>
        <w:textAlignment w:val="baseline"/>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甲、乙双方应当自觉遵守国家、省、市关于建设工程承发包工作规则以及有关廉政建设的各项规定。</w:t>
      </w:r>
    </w:p>
    <w:p>
      <w:pPr>
        <w:numPr>
          <w:ilvl w:val="0"/>
          <w:numId w:val="8"/>
        </w:numPr>
        <w:adjustRightInd w:val="0"/>
        <w:snapToGrid w:val="0"/>
        <w:spacing w:line="360" w:lineRule="auto"/>
        <w:ind w:firstLine="420" w:firstLineChars="200"/>
        <w:textAlignment w:val="baseline"/>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甲方及其工作人员不得以任何形式向乙方索要和收受回扣等好处费。</w:t>
      </w:r>
    </w:p>
    <w:p>
      <w:pPr>
        <w:numPr>
          <w:ilvl w:val="0"/>
          <w:numId w:val="9"/>
        </w:numPr>
        <w:adjustRightInd w:val="0"/>
        <w:snapToGrid w:val="0"/>
        <w:spacing w:line="360" w:lineRule="auto"/>
        <w:ind w:firstLine="420" w:firstLineChars="200"/>
        <w:textAlignment w:val="baseline"/>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甲方工作人员应保持与乙方的正常业务交往，不得接受乙方的礼金、有价证券和贵重物品，不得在乙方报销任何应当由个人支付的费用。</w:t>
      </w:r>
    </w:p>
    <w:p>
      <w:pPr>
        <w:adjustRightInd w:val="0"/>
        <w:snapToGrid w:val="0"/>
        <w:spacing w:line="360" w:lineRule="auto"/>
        <w:ind w:firstLine="420" w:firstLineChars="200"/>
        <w:textAlignment w:val="baseline"/>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四、甲方工作人员不得参加可能对公正执行公务有影响的宴请和娱乐活动。</w:t>
      </w:r>
    </w:p>
    <w:p>
      <w:pPr>
        <w:adjustRightInd w:val="0"/>
        <w:snapToGrid w:val="0"/>
        <w:spacing w:line="360" w:lineRule="auto"/>
        <w:ind w:firstLine="420" w:firstLineChars="200"/>
        <w:textAlignment w:val="baseline"/>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五、甲方工作人员不得要求或者接受乙方为其住房装修、婚丧嫁娶、家属和子女的工作安排以及出国等提供方便。</w:t>
      </w:r>
    </w:p>
    <w:p>
      <w:pPr>
        <w:adjustRightInd w:val="0"/>
        <w:snapToGrid w:val="0"/>
        <w:spacing w:line="360" w:lineRule="auto"/>
        <w:ind w:firstLine="420" w:firstLineChars="200"/>
        <w:textAlignment w:val="baseline"/>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六、甲方工作人员不得向乙方介绍家属或者亲友从事与甲方工程有关的材料设备供应、工程分包等经济活动。</w:t>
      </w:r>
    </w:p>
    <w:p>
      <w:pPr>
        <w:adjustRightInd w:val="0"/>
        <w:snapToGrid w:val="0"/>
        <w:spacing w:line="360" w:lineRule="auto"/>
        <w:ind w:firstLine="420" w:firstLineChars="200"/>
        <w:textAlignment w:val="baseline"/>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七、乙方应当通过正常途径开展相关业务工作，不得为获取某些不正当利益向甲方工作人员赠送礼金、有价证券和贵重物品等。 </w:t>
      </w:r>
    </w:p>
    <w:p>
      <w:pPr>
        <w:adjustRightInd w:val="0"/>
        <w:snapToGrid w:val="0"/>
        <w:spacing w:line="360" w:lineRule="auto"/>
        <w:ind w:firstLine="420" w:firstLineChars="200"/>
        <w:textAlignment w:val="baseline"/>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八、乙方不得为谋取利益擅自与甲方工作人员就工程承包、工程费用、材料设备供应、工程量变动、工程验收、工程质量问题处理等进行私下商谈或者达成默契。</w:t>
      </w:r>
    </w:p>
    <w:p>
      <w:pPr>
        <w:adjustRightInd w:val="0"/>
        <w:snapToGrid w:val="0"/>
        <w:spacing w:line="360" w:lineRule="auto"/>
        <w:ind w:firstLine="420" w:firstLineChars="200"/>
        <w:textAlignment w:val="baseline"/>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九、乙方不得以洽谈业务、签订经济合同为借口，邀请甲方工作人员外出旅游和进入营业性娱乐场所娱乐。</w:t>
      </w:r>
    </w:p>
    <w:p>
      <w:pPr>
        <w:adjustRightInd w:val="0"/>
        <w:snapToGrid w:val="0"/>
        <w:spacing w:line="360" w:lineRule="auto"/>
        <w:ind w:firstLine="420" w:firstLineChars="200"/>
        <w:textAlignment w:val="baseline"/>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十、乙方不得为甲方单位和个人购置或者提供通讯工具、交通工具、家电、高档办公用品等物品。</w:t>
      </w:r>
    </w:p>
    <w:p>
      <w:pPr>
        <w:adjustRightInd w:val="0"/>
        <w:snapToGrid w:val="0"/>
        <w:spacing w:line="360" w:lineRule="auto"/>
        <w:ind w:firstLine="420" w:firstLineChars="200"/>
        <w:textAlignment w:val="baseline"/>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十一、乙方如发现甲方工作人员有违反上述协议者，应向甲方领导或者甲方上级单位举报。甲方不得找任何借口对乙方进行报复。甲方对举报属实和严格遵守廉洁协议的乙方，在同等条件下给予承接后续工程的优先邀请投标权。</w:t>
      </w:r>
    </w:p>
    <w:p>
      <w:pPr>
        <w:adjustRightInd w:val="0"/>
        <w:snapToGrid w:val="0"/>
        <w:spacing w:line="360" w:lineRule="auto"/>
        <w:ind w:firstLine="420" w:firstLineChars="200"/>
        <w:textAlignment w:val="baseline"/>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十二、乙方在工程实施中必须守法经营。如乙方（含承包人的相关人员）被纪检部门查实存在违纪行为的，甲方将扣减乙方合同额的1%作为违约金；如果乙方（含承包人的相关人员）被司法机关查实认定有犯罪行为的，甲方将扣减乙方合同额的2%作为违约金。</w:t>
      </w:r>
    </w:p>
    <w:p>
      <w:pPr>
        <w:adjustRightInd w:val="0"/>
        <w:snapToGrid w:val="0"/>
        <w:spacing w:line="360" w:lineRule="auto"/>
        <w:ind w:firstLine="420" w:firstLineChars="200"/>
        <w:textAlignment w:val="baseline"/>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十三、本廉洁协议作为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的附件，与本项目合同具有同等法律效力。经协议双方签署后立即生效。</w:t>
      </w:r>
    </w:p>
    <w:p>
      <w:pPr>
        <w:adjustRightInd w:val="0"/>
        <w:spacing w:line="360" w:lineRule="auto"/>
        <w:ind w:firstLine="420" w:firstLineChars="200"/>
        <w:textAlignment w:val="baseline"/>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page"/>
      </w:r>
    </w:p>
    <w:p>
      <w:pPr>
        <w:adjustRightInd w:val="0"/>
        <w:snapToGrid w:val="0"/>
        <w:spacing w:line="360" w:lineRule="auto"/>
        <w:ind w:firstLine="420" w:firstLineChars="200"/>
        <w:textAlignment w:val="baseline"/>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（本页无正文）</w:t>
      </w:r>
    </w:p>
    <w:p>
      <w:pPr>
        <w:adjustRightInd w:val="0"/>
        <w:snapToGrid w:val="0"/>
        <w:spacing w:line="360" w:lineRule="auto"/>
        <w:ind w:firstLine="420" w:firstLineChars="200"/>
        <w:textAlignment w:val="baseline"/>
        <w:rPr>
          <w:rFonts w:asciiTheme="minorEastAsia" w:hAnsiTheme="minorEastAsia" w:eastAsiaTheme="minorEastAsia" w:cstheme="minorEastAsia"/>
          <w:szCs w:val="21"/>
        </w:rPr>
      </w:pPr>
    </w:p>
    <w:p>
      <w:pPr>
        <w:adjustRightInd w:val="0"/>
        <w:spacing w:after="120" w:line="360" w:lineRule="auto"/>
        <w:ind w:firstLine="420" w:firstLineChars="200"/>
        <w:textAlignment w:val="baseline"/>
        <w:rPr>
          <w:rFonts w:asciiTheme="minorEastAsia" w:hAnsiTheme="minorEastAsia" w:eastAsiaTheme="minorEastAsia" w:cstheme="minorEastAsia"/>
          <w:szCs w:val="21"/>
        </w:rPr>
      </w:pPr>
    </w:p>
    <w:p>
      <w:pPr>
        <w:adjustRightInd w:val="0"/>
        <w:spacing w:after="120" w:line="360" w:lineRule="auto"/>
        <w:ind w:firstLine="420" w:firstLineChars="200"/>
        <w:textAlignment w:val="baseline"/>
        <w:rPr>
          <w:rFonts w:asciiTheme="minorEastAsia" w:hAnsiTheme="minorEastAsia" w:eastAsiaTheme="minorEastAsia" w:cstheme="minorEastAsia"/>
          <w:szCs w:val="21"/>
        </w:rPr>
      </w:pPr>
    </w:p>
    <w:p>
      <w:pPr>
        <w:adjustRightInd w:val="0"/>
        <w:spacing w:after="120" w:line="360" w:lineRule="auto"/>
        <w:ind w:firstLine="420" w:firstLineChars="200"/>
        <w:textAlignment w:val="baseline"/>
        <w:rPr>
          <w:rFonts w:asciiTheme="minorEastAsia" w:hAnsiTheme="minorEastAsia" w:eastAsiaTheme="minorEastAsia" w:cstheme="minorEastAsia"/>
          <w:szCs w:val="21"/>
        </w:rPr>
      </w:pPr>
    </w:p>
    <w:p>
      <w:pPr>
        <w:adjustRightInd w:val="0"/>
        <w:snapToGrid w:val="0"/>
        <w:spacing w:line="360" w:lineRule="auto"/>
        <w:ind w:firstLine="420" w:firstLineChars="200"/>
        <w:textAlignment w:val="baseline"/>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甲方：                                    乙方：</w:t>
      </w:r>
    </w:p>
    <w:p>
      <w:pPr>
        <w:tabs>
          <w:tab w:val="left" w:pos="4938"/>
          <w:tab w:val="left" w:pos="5208"/>
        </w:tabs>
        <w:adjustRightInd w:val="0"/>
        <w:snapToGrid w:val="0"/>
        <w:spacing w:line="360" w:lineRule="auto"/>
        <w:ind w:firstLine="420" w:firstLineChars="200"/>
        <w:textAlignment w:val="baseline"/>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法定代表人或                              法定代表人或   </w:t>
      </w:r>
    </w:p>
    <w:p>
      <w:pPr>
        <w:adjustRightInd w:val="0"/>
        <w:snapToGrid w:val="0"/>
        <w:spacing w:line="360" w:lineRule="auto"/>
        <w:ind w:firstLine="420" w:firstLineChars="200"/>
        <w:textAlignment w:val="baseline"/>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委托代理人：                              委托代理人：   </w:t>
      </w:r>
    </w:p>
    <w:p>
      <w:pPr>
        <w:adjustRightInd w:val="0"/>
        <w:spacing w:line="360" w:lineRule="auto"/>
        <w:ind w:firstLine="420" w:firstLineChars="200"/>
        <w:jc w:val="left"/>
        <w:textAlignment w:val="baseline"/>
        <w:rPr>
          <w:rFonts w:asciiTheme="minorEastAsia" w:hAnsiTheme="minorEastAsia" w:eastAsiaTheme="minorEastAsia" w:cstheme="minorEastAsia"/>
          <w:sz w:val="28"/>
        </w:rPr>
      </w:pPr>
      <w:r>
        <w:rPr>
          <w:rFonts w:hint="eastAsia" w:asciiTheme="minorEastAsia" w:hAnsiTheme="minorEastAsia" w:eastAsiaTheme="minorEastAsia" w:cstheme="minorEastAsia"/>
          <w:szCs w:val="21"/>
        </w:rPr>
        <w:t>签约日期：    年    月  日</w:t>
      </w:r>
    </w:p>
    <w:p>
      <w:pPr>
        <w:adjustRightInd w:val="0"/>
        <w:spacing w:line="360" w:lineRule="auto"/>
        <w:ind w:firstLine="482" w:firstLineChars="200"/>
        <w:jc w:val="left"/>
        <w:textAlignment w:val="baseline"/>
        <w:rPr>
          <w:rFonts w:asciiTheme="minorEastAsia" w:hAnsiTheme="minorEastAsia" w:eastAsiaTheme="minorEastAsia" w:cstheme="minorEastAsia"/>
          <w:b/>
          <w:bCs/>
          <w:sz w:val="24"/>
        </w:rPr>
      </w:pPr>
    </w:p>
    <w:p>
      <w:pPr>
        <w:adjustRightInd w:val="0"/>
        <w:spacing w:line="360" w:lineRule="auto"/>
        <w:ind w:firstLine="482" w:firstLineChars="200"/>
        <w:jc w:val="left"/>
        <w:textAlignment w:val="baseline"/>
        <w:rPr>
          <w:rFonts w:asciiTheme="minorEastAsia" w:hAnsiTheme="minorEastAsia" w:eastAsiaTheme="minorEastAsia" w:cstheme="minorEastAsia"/>
          <w:b/>
          <w:bCs/>
          <w:sz w:val="24"/>
        </w:rPr>
      </w:pPr>
    </w:p>
    <w:p>
      <w:pPr>
        <w:adjustRightInd w:val="0"/>
        <w:spacing w:line="360" w:lineRule="auto"/>
        <w:ind w:firstLine="482" w:firstLineChars="200"/>
        <w:textAlignment w:val="baseline"/>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br w:type="page"/>
      </w:r>
    </w:p>
    <w:p>
      <w:pPr>
        <w:adjustRightInd w:val="0"/>
        <w:spacing w:line="360" w:lineRule="auto"/>
        <w:ind w:firstLine="482" w:firstLineChars="200"/>
        <w:jc w:val="left"/>
        <w:textAlignment w:val="baseline"/>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bCs/>
          <w:sz w:val="24"/>
        </w:rPr>
        <w:t>附件4：</w:t>
      </w:r>
      <w:r>
        <w:rPr>
          <w:rFonts w:hint="eastAsia" w:asciiTheme="minorEastAsia" w:hAnsiTheme="minorEastAsia" w:eastAsiaTheme="minorEastAsia" w:cstheme="minorEastAsia"/>
          <w:b/>
          <w:sz w:val="32"/>
          <w:szCs w:val="32"/>
        </w:rPr>
        <w:t xml:space="preserve">                </w:t>
      </w:r>
    </w:p>
    <w:p>
      <w:pPr>
        <w:adjustRightInd w:val="0"/>
        <w:spacing w:line="360" w:lineRule="auto"/>
        <w:ind w:firstLine="643" w:firstLineChars="200"/>
        <w:jc w:val="center"/>
        <w:textAlignment w:val="baseline"/>
        <w:rPr>
          <w:rFonts w:asciiTheme="minorEastAsia" w:hAnsiTheme="minorEastAsia" w:eastAsiaTheme="minorEastAsia" w:cstheme="minorEastAsia"/>
          <w:b/>
          <w:sz w:val="28"/>
        </w:rPr>
      </w:pPr>
      <w:r>
        <w:rPr>
          <w:rFonts w:hint="eastAsia" w:asciiTheme="minorEastAsia" w:hAnsiTheme="minorEastAsia" w:eastAsiaTheme="minorEastAsia" w:cstheme="minorEastAsia"/>
          <w:b/>
          <w:sz w:val="32"/>
          <w:szCs w:val="32"/>
        </w:rPr>
        <w:t>安全生产合同</w:t>
      </w:r>
    </w:p>
    <w:p>
      <w:pPr>
        <w:adjustRightInd w:val="0"/>
        <w:spacing w:line="360" w:lineRule="auto"/>
        <w:ind w:firstLine="420" w:firstLineChars="200"/>
        <w:textAlignment w:val="baseline"/>
        <w:rPr>
          <w:rFonts w:asciiTheme="minorEastAsia" w:hAnsiTheme="minorEastAsia" w:eastAsiaTheme="minorEastAsia" w:cstheme="minorEastAsia"/>
        </w:rPr>
      </w:pPr>
      <w:r>
        <w:rPr>
          <w:rFonts w:hint="eastAsia" w:asciiTheme="minorEastAsia" w:hAnsiTheme="minorEastAsia" w:eastAsiaTheme="minorEastAsia" w:cstheme="minorEastAsia"/>
        </w:rPr>
        <w:t>为在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（项目名称）合同的实施过程中创造安全、高效的施工环境，切实搞好本项目的安全管理工作，本项目业主</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（以下简称“甲方” ）与承包人（全称）</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（以下简称“乙方” ）特此签订安全生产合同。</w:t>
      </w:r>
    </w:p>
    <w:p>
      <w:pPr>
        <w:adjustRightInd w:val="0"/>
        <w:spacing w:line="360" w:lineRule="auto"/>
        <w:ind w:firstLine="420" w:firstLineChars="200"/>
        <w:textAlignment w:val="baseline"/>
        <w:rPr>
          <w:rFonts w:asciiTheme="minorEastAsia" w:hAnsiTheme="minorEastAsia" w:eastAsiaTheme="minorEastAsia" w:cstheme="minorEastAsia"/>
          <w:b/>
          <w:bCs/>
        </w:rPr>
      </w:pPr>
      <w:r>
        <w:rPr>
          <w:rFonts w:hint="eastAsia" w:asciiTheme="minorEastAsia" w:hAnsiTheme="minorEastAsia" w:eastAsiaTheme="minorEastAsia" w:cstheme="minorEastAsia"/>
        </w:rPr>
        <w:t>一、</w:t>
      </w:r>
      <w:r>
        <w:rPr>
          <w:rFonts w:hint="eastAsia" w:asciiTheme="minorEastAsia" w:hAnsiTheme="minorEastAsia" w:eastAsiaTheme="minorEastAsia" w:cstheme="minorEastAsia"/>
          <w:b/>
          <w:bCs/>
        </w:rPr>
        <w:t>甲方职责</w:t>
      </w:r>
    </w:p>
    <w:p>
      <w:pPr>
        <w:adjustRightInd w:val="0"/>
        <w:spacing w:line="360" w:lineRule="auto"/>
        <w:ind w:firstLine="420" w:firstLineChars="200"/>
        <w:textAlignment w:val="baseline"/>
        <w:rPr>
          <w:rFonts w:asciiTheme="minorEastAsia" w:hAnsiTheme="minorEastAsia" w:eastAsiaTheme="minorEastAsia" w:cstheme="minorEastAsia"/>
        </w:rPr>
      </w:pPr>
      <w:r>
        <w:rPr>
          <w:rFonts w:hint="eastAsia" w:asciiTheme="minorEastAsia" w:hAnsiTheme="minorEastAsia" w:eastAsiaTheme="minorEastAsia" w:cstheme="minorEastAsia"/>
        </w:rPr>
        <w:t>1、严格遵守国家有关安全生产的法律法规，认真执行工程承包合同中的有关安全要求。</w:t>
      </w:r>
    </w:p>
    <w:p>
      <w:pPr>
        <w:adjustRightInd w:val="0"/>
        <w:spacing w:line="360" w:lineRule="auto"/>
        <w:ind w:firstLine="420" w:firstLineChars="200"/>
        <w:textAlignment w:val="baseline"/>
        <w:rPr>
          <w:rFonts w:asciiTheme="minorEastAsia" w:hAnsiTheme="minorEastAsia" w:eastAsiaTheme="minorEastAsia" w:cstheme="minorEastAsia"/>
        </w:rPr>
      </w:pPr>
      <w:r>
        <w:rPr>
          <w:rFonts w:hint="eastAsia" w:asciiTheme="minorEastAsia" w:hAnsiTheme="minorEastAsia" w:eastAsiaTheme="minorEastAsia" w:cstheme="minorEastAsia"/>
        </w:rPr>
        <w:t>2、按照“安全第一，预防为主”和坚持“管生产必须管安全”的原则进行安全生产管理，做到生产与安全工作同时计划、布置、检查、总结和评比。</w:t>
      </w:r>
    </w:p>
    <w:p>
      <w:pPr>
        <w:adjustRightInd w:val="0"/>
        <w:spacing w:line="360" w:lineRule="auto"/>
        <w:ind w:firstLine="420" w:firstLineChars="200"/>
        <w:textAlignment w:val="baseline"/>
        <w:rPr>
          <w:rFonts w:asciiTheme="minorEastAsia" w:hAnsiTheme="minorEastAsia" w:eastAsiaTheme="minorEastAsia" w:cstheme="minorEastAsia"/>
        </w:rPr>
      </w:pPr>
      <w:r>
        <w:rPr>
          <w:rFonts w:hint="eastAsia" w:asciiTheme="minorEastAsia" w:hAnsiTheme="minorEastAsia" w:eastAsiaTheme="minorEastAsia" w:cstheme="minorEastAsia"/>
        </w:rPr>
        <w:t>3、重要的安全设施必须坚持与主体工程“三同时”的原则，即同时设计、审批，同时施工，同时验收，投放使用。</w:t>
      </w:r>
    </w:p>
    <w:p>
      <w:pPr>
        <w:adjustRightInd w:val="0"/>
        <w:spacing w:line="360" w:lineRule="auto"/>
        <w:ind w:firstLine="420" w:firstLineChars="200"/>
        <w:textAlignment w:val="baseline"/>
        <w:rPr>
          <w:rFonts w:asciiTheme="minorEastAsia" w:hAnsiTheme="minorEastAsia" w:eastAsiaTheme="minorEastAsia" w:cstheme="minorEastAsia"/>
        </w:rPr>
      </w:pPr>
      <w:r>
        <w:rPr>
          <w:rFonts w:hint="eastAsia" w:asciiTheme="minorEastAsia" w:hAnsiTheme="minorEastAsia" w:eastAsiaTheme="minorEastAsia" w:cstheme="minorEastAsia"/>
        </w:rPr>
        <w:t>4、定期召开安全生产调度会，及时传达中央及地方有关安全生产的精神。</w:t>
      </w:r>
    </w:p>
    <w:p>
      <w:pPr>
        <w:adjustRightInd w:val="0"/>
        <w:spacing w:line="360" w:lineRule="auto"/>
        <w:ind w:firstLine="420" w:firstLineChars="200"/>
        <w:textAlignment w:val="baseline"/>
        <w:rPr>
          <w:rFonts w:asciiTheme="minorEastAsia" w:hAnsiTheme="minorEastAsia" w:eastAsiaTheme="minorEastAsia" w:cstheme="minorEastAsia"/>
        </w:rPr>
      </w:pPr>
      <w:r>
        <w:rPr>
          <w:rFonts w:hint="eastAsia" w:asciiTheme="minorEastAsia" w:hAnsiTheme="minorEastAsia" w:eastAsiaTheme="minorEastAsia" w:cstheme="minorEastAsia"/>
        </w:rPr>
        <w:t>5、组织对乙方施工现场安全生产检查，监督乙方及时处理发现的各种安全隐患。</w:t>
      </w:r>
    </w:p>
    <w:p>
      <w:pPr>
        <w:adjustRightInd w:val="0"/>
        <w:spacing w:line="360" w:lineRule="auto"/>
        <w:ind w:firstLine="420" w:firstLineChars="200"/>
        <w:textAlignment w:val="baseline"/>
        <w:rPr>
          <w:rFonts w:asciiTheme="minorEastAsia" w:hAnsiTheme="minorEastAsia" w:eastAsiaTheme="minorEastAsia" w:cstheme="minorEastAsia"/>
          <w:b/>
          <w:bCs/>
        </w:rPr>
      </w:pPr>
      <w:r>
        <w:rPr>
          <w:rFonts w:hint="eastAsia" w:asciiTheme="minorEastAsia" w:hAnsiTheme="minorEastAsia" w:eastAsiaTheme="minorEastAsia" w:cstheme="minorEastAsia"/>
        </w:rPr>
        <w:t>二、</w:t>
      </w:r>
      <w:r>
        <w:rPr>
          <w:rFonts w:hint="eastAsia" w:asciiTheme="minorEastAsia" w:hAnsiTheme="minorEastAsia" w:eastAsiaTheme="minorEastAsia" w:cstheme="minorEastAsia"/>
          <w:b/>
          <w:bCs/>
        </w:rPr>
        <w:t>乙方职责</w:t>
      </w:r>
    </w:p>
    <w:p>
      <w:pPr>
        <w:adjustRightInd w:val="0"/>
        <w:spacing w:line="360" w:lineRule="auto"/>
        <w:ind w:firstLine="420" w:firstLineChars="200"/>
        <w:textAlignment w:val="baseline"/>
        <w:rPr>
          <w:rFonts w:asciiTheme="minorEastAsia" w:hAnsiTheme="minorEastAsia" w:eastAsiaTheme="minorEastAsia" w:cstheme="minorEastAsia"/>
        </w:rPr>
      </w:pPr>
      <w:r>
        <w:rPr>
          <w:rFonts w:hint="eastAsia" w:asciiTheme="minorEastAsia" w:hAnsiTheme="minorEastAsia" w:eastAsiaTheme="minorEastAsia" w:cstheme="minorEastAsia"/>
        </w:rPr>
        <w:t>1、严格遵守国家有关安全生产的法律法规及《工程施工安全技术规程》有关安全要求。</w:t>
      </w:r>
    </w:p>
    <w:p>
      <w:pPr>
        <w:adjustRightInd w:val="0"/>
        <w:spacing w:line="360" w:lineRule="auto"/>
        <w:ind w:firstLine="420" w:firstLineChars="200"/>
        <w:textAlignment w:val="baseline"/>
        <w:rPr>
          <w:rFonts w:asciiTheme="minorEastAsia" w:hAnsiTheme="minorEastAsia" w:eastAsiaTheme="minorEastAsia" w:cstheme="minorEastAsia"/>
        </w:rPr>
      </w:pPr>
      <w:r>
        <w:rPr>
          <w:rFonts w:hint="eastAsia" w:asciiTheme="minorEastAsia" w:hAnsiTheme="minorEastAsia" w:eastAsiaTheme="minorEastAsia" w:cstheme="minorEastAsia"/>
        </w:rPr>
        <w:t>2、坚持“安全第一、预防为主”和“管生产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熟悉和遵守本条款的各项规定，做到生产与安全工作同时计划、布置、检查、总结和评比。</w:t>
      </w:r>
    </w:p>
    <w:p>
      <w:pPr>
        <w:adjustRightInd w:val="0"/>
        <w:spacing w:line="360" w:lineRule="auto"/>
        <w:ind w:firstLine="420" w:firstLineChars="200"/>
        <w:textAlignment w:val="baseline"/>
        <w:rPr>
          <w:rFonts w:asciiTheme="minorEastAsia" w:hAnsiTheme="minorEastAsia" w:eastAsiaTheme="minorEastAsia" w:cstheme="minorEastAsia"/>
        </w:rPr>
      </w:pPr>
      <w:r>
        <w:rPr>
          <w:rFonts w:hint="eastAsia" w:asciiTheme="minorEastAsia" w:hAnsiTheme="minorEastAsia" w:eastAsiaTheme="minorEastAsia" w:cstheme="minorEastAsia"/>
        </w:rPr>
        <w:t>3、建立健全安全生产责任制。从派往项目实施的项目负责人到生产工人（包括临时雇请的民工）的安全生产管理系统必须做到纵向到底，一环不漏；各职能部门、人员的安全生产责任制做到横向到边，人人有责。项目负责人是安全生产的第一责任人。现场设置的安全机构，应按施工人员的1%—3%配备安全员，专职负责所有员工安全和治安保卫工作及预防事故的发生。安全机构人员，有权按有关规定发布指令，并采取保护性措施防止事故发生。</w:t>
      </w:r>
    </w:p>
    <w:p>
      <w:pPr>
        <w:adjustRightInd w:val="0"/>
        <w:spacing w:line="360" w:lineRule="auto"/>
        <w:ind w:firstLine="420" w:firstLineChars="200"/>
        <w:textAlignment w:val="baseline"/>
        <w:rPr>
          <w:rFonts w:asciiTheme="minorEastAsia" w:hAnsiTheme="minorEastAsia" w:eastAsiaTheme="minorEastAsia" w:cstheme="minorEastAsia"/>
        </w:rPr>
      </w:pPr>
      <w:r>
        <w:rPr>
          <w:rFonts w:hint="eastAsia" w:asciiTheme="minorEastAsia" w:hAnsiTheme="minorEastAsia" w:eastAsiaTheme="minorEastAsia" w:cstheme="minorEastAsia"/>
        </w:rPr>
        <w:t>4、乙方在任何时候都应采取各种合理的预防措施，防止其员工发生任何违法、违禁、暴力或妨碍治安的行为。</w:t>
      </w:r>
    </w:p>
    <w:p>
      <w:pPr>
        <w:adjustRightInd w:val="0"/>
        <w:spacing w:line="360" w:lineRule="auto"/>
        <w:ind w:firstLine="420" w:firstLineChars="200"/>
        <w:textAlignment w:val="baseline"/>
        <w:rPr>
          <w:rFonts w:asciiTheme="minorEastAsia" w:hAnsiTheme="minorEastAsia" w:eastAsiaTheme="minorEastAsia" w:cstheme="minorEastAsia"/>
        </w:rPr>
      </w:pPr>
      <w:r>
        <w:rPr>
          <w:rFonts w:hint="eastAsia" w:asciiTheme="minorEastAsia" w:hAnsiTheme="minorEastAsia" w:eastAsiaTheme="minorEastAsia" w:cstheme="minorEastAsia"/>
        </w:rPr>
        <w:t>5、乙方必须具有劳动安全管理部门颁发的安全生产证书，参加施工的人员，必须按受安全技术教育，熟知和遵守本工种的各项安全技术操作规程，定期进行安全技术考核，合格者方准上岗操作，对于从事电气、起重、建筑登高架设作业、锅炉、压力容器、焊接、机动车驾驶、潜水、瓦斯检验等特殊工种的人员，经过专业培训，获得《安全操作合格证》后，持证上岗。施工现场如出现特种作业无证操作现象时，项目负责人必须承担管理责任。</w:t>
      </w:r>
    </w:p>
    <w:p>
      <w:pPr>
        <w:adjustRightInd w:val="0"/>
        <w:spacing w:line="360" w:lineRule="auto"/>
        <w:ind w:firstLine="420" w:firstLineChars="200"/>
        <w:textAlignment w:val="baseline"/>
        <w:rPr>
          <w:rFonts w:asciiTheme="minorEastAsia" w:hAnsiTheme="minorEastAsia" w:eastAsiaTheme="minorEastAsia" w:cstheme="minorEastAsia"/>
        </w:rPr>
      </w:pPr>
      <w:r>
        <w:rPr>
          <w:rFonts w:hint="eastAsia" w:asciiTheme="minorEastAsia" w:hAnsiTheme="minorEastAsia" w:eastAsiaTheme="minorEastAsia" w:cstheme="minorEastAsia"/>
        </w:rPr>
        <w:t>6、对于易燃易爆的材料由专人负责保管，还应配备有足够的消防设施，所有施工人员都应熟悉消防设备的性能和使用方法；乙方不得将任何种类的爆炸物给予或转让给任何其他人，或允许、容忍上述同样行为。</w:t>
      </w:r>
    </w:p>
    <w:p>
      <w:pPr>
        <w:adjustRightInd w:val="0"/>
        <w:spacing w:line="360" w:lineRule="auto"/>
        <w:ind w:firstLine="420" w:firstLineChars="200"/>
        <w:textAlignment w:val="baseline"/>
        <w:rPr>
          <w:rFonts w:asciiTheme="minorEastAsia" w:hAnsiTheme="minorEastAsia" w:eastAsiaTheme="minorEastAsia" w:cstheme="minorEastAsia"/>
        </w:rPr>
      </w:pPr>
      <w:r>
        <w:rPr>
          <w:rFonts w:hint="eastAsia" w:asciiTheme="minorEastAsia" w:hAnsiTheme="minorEastAsia" w:eastAsiaTheme="minorEastAsia" w:cstheme="minorEastAsia"/>
        </w:rPr>
        <w:t>7、操作人员上岗，必须按规定穿戴情况，不按规定穿戴防护用品的人员不得上岗。</w:t>
      </w:r>
    </w:p>
    <w:p>
      <w:pPr>
        <w:adjustRightInd w:val="0"/>
        <w:spacing w:line="360" w:lineRule="auto"/>
        <w:ind w:firstLine="420" w:firstLineChars="200"/>
        <w:textAlignment w:val="baseline"/>
        <w:rPr>
          <w:rFonts w:asciiTheme="minorEastAsia" w:hAnsiTheme="minorEastAsia" w:eastAsiaTheme="minorEastAsia" w:cstheme="minorEastAsia"/>
        </w:rPr>
      </w:pPr>
      <w:r>
        <w:rPr>
          <w:rFonts w:hint="eastAsia" w:asciiTheme="minorEastAsia" w:hAnsiTheme="minorEastAsia" w:eastAsiaTheme="minorEastAsia" w:cstheme="minorEastAsia"/>
        </w:rPr>
        <w:t>8、所有施工机具设备和高空作业的设备均应定期检查，并有安全员的签字记录，保证其经常处于完好状态；不合格的机具、设备和劳动保护用品严禁使用。</w:t>
      </w:r>
    </w:p>
    <w:p>
      <w:pPr>
        <w:adjustRightInd w:val="0"/>
        <w:spacing w:line="360" w:lineRule="auto"/>
        <w:ind w:firstLine="420" w:firstLineChars="200"/>
        <w:textAlignment w:val="baseline"/>
        <w:rPr>
          <w:rFonts w:asciiTheme="minorEastAsia" w:hAnsiTheme="minorEastAsia" w:eastAsiaTheme="minorEastAsia" w:cstheme="minorEastAsia"/>
        </w:rPr>
      </w:pPr>
      <w:r>
        <w:rPr>
          <w:rFonts w:hint="eastAsia" w:asciiTheme="minorEastAsia" w:hAnsiTheme="minorEastAsia" w:eastAsiaTheme="minorEastAsia" w:cstheme="minorEastAsia"/>
        </w:rPr>
        <w:t>9、施工中采用新技术、新工艺、新设备、新材料时，必须制定相应的安全技术措施，施工现场必须具有相关的安全标志牌。</w:t>
      </w:r>
    </w:p>
    <w:p>
      <w:pPr>
        <w:adjustRightInd w:val="0"/>
        <w:spacing w:line="360" w:lineRule="auto"/>
        <w:ind w:firstLine="420" w:firstLineChars="200"/>
        <w:textAlignment w:val="baseline"/>
        <w:rPr>
          <w:rFonts w:asciiTheme="minorEastAsia" w:hAnsiTheme="minorEastAsia" w:eastAsiaTheme="minorEastAsia" w:cstheme="minorEastAsia"/>
        </w:rPr>
      </w:pPr>
      <w:r>
        <w:rPr>
          <w:rFonts w:hint="eastAsia" w:asciiTheme="minorEastAsia" w:hAnsiTheme="minorEastAsia" w:eastAsiaTheme="minorEastAsia" w:cstheme="minorEastAsia"/>
        </w:rPr>
        <w:t>10、乙方必须按照本工程项目特点，组织本工程实施中的生产安全事故应急求援预案；如果发生安全事故，应按照《国务院关于特大安全事故行政责任追究的规定》以及其它有关规定，及时上报有关部门，并坚持“三不放过”的原则，严肃处理相关责任人。</w:t>
      </w:r>
    </w:p>
    <w:p>
      <w:pPr>
        <w:adjustRightInd w:val="0"/>
        <w:spacing w:line="360" w:lineRule="auto"/>
        <w:ind w:firstLine="420" w:firstLineChars="200"/>
        <w:textAlignment w:val="baseline"/>
        <w:rPr>
          <w:rFonts w:asciiTheme="minorEastAsia" w:hAnsiTheme="minorEastAsia" w:eastAsiaTheme="minorEastAsia" w:cstheme="minorEastAsia"/>
          <w:b/>
          <w:bCs/>
        </w:rPr>
      </w:pPr>
      <w:r>
        <w:rPr>
          <w:rFonts w:hint="eastAsia" w:asciiTheme="minorEastAsia" w:hAnsiTheme="minorEastAsia" w:eastAsiaTheme="minorEastAsia" w:cstheme="minorEastAsia"/>
        </w:rPr>
        <w:t>三、</w:t>
      </w:r>
      <w:r>
        <w:rPr>
          <w:rFonts w:hint="eastAsia" w:asciiTheme="minorEastAsia" w:hAnsiTheme="minorEastAsia" w:eastAsiaTheme="minorEastAsia" w:cstheme="minorEastAsia"/>
          <w:b/>
          <w:bCs/>
        </w:rPr>
        <w:t>违约责任</w:t>
      </w:r>
    </w:p>
    <w:p>
      <w:pPr>
        <w:adjustRightInd w:val="0"/>
        <w:spacing w:line="360" w:lineRule="auto"/>
        <w:ind w:firstLine="420" w:firstLineChars="200"/>
        <w:textAlignment w:val="baseline"/>
        <w:rPr>
          <w:rFonts w:asciiTheme="minorEastAsia" w:hAnsiTheme="minorEastAsia" w:eastAsiaTheme="minorEastAsia" w:cstheme="minorEastAsia"/>
        </w:rPr>
      </w:pPr>
      <w:r>
        <w:rPr>
          <w:rFonts w:hint="eastAsia" w:asciiTheme="minorEastAsia" w:hAnsiTheme="minorEastAsia" w:eastAsiaTheme="minorEastAsia" w:cstheme="minorEastAsia"/>
        </w:rPr>
        <w:t>如因甲方或乙方违约造成安全事故，将依法追究责任。乙方违反其中任何一项规定的每次将处以2000元-10万元的罚款。</w:t>
      </w:r>
    </w:p>
    <w:p>
      <w:pPr>
        <w:adjustRightInd w:val="0"/>
        <w:spacing w:line="360" w:lineRule="auto"/>
        <w:ind w:firstLine="422" w:firstLineChars="200"/>
        <w:textAlignment w:val="baseline"/>
        <w:rPr>
          <w:rFonts w:asciiTheme="minorEastAsia" w:hAnsiTheme="minorEastAsia" w:eastAsiaTheme="minorEastAsia" w:cstheme="minorEastAsia"/>
          <w:b/>
          <w:bCs/>
        </w:rPr>
      </w:pPr>
      <w:r>
        <w:rPr>
          <w:rFonts w:hint="eastAsia" w:asciiTheme="minorEastAsia" w:hAnsiTheme="minorEastAsia" w:eastAsiaTheme="minorEastAsia" w:cstheme="minorEastAsia"/>
          <w:b/>
          <w:bCs/>
        </w:rPr>
        <w:t>四、其他</w:t>
      </w:r>
    </w:p>
    <w:p>
      <w:pPr>
        <w:adjustRightInd w:val="0"/>
        <w:spacing w:line="360" w:lineRule="auto"/>
        <w:ind w:firstLine="420" w:firstLineChars="200"/>
        <w:textAlignment w:val="baseline"/>
        <w:rPr>
          <w:rFonts w:asciiTheme="minorEastAsia" w:hAnsiTheme="minorEastAsia" w:eastAsiaTheme="minorEastAsia" w:cstheme="minorEastAsia"/>
        </w:rPr>
      </w:pPr>
      <w:r>
        <w:rPr>
          <w:rFonts w:hint="eastAsia" w:asciiTheme="minorEastAsia" w:hAnsiTheme="minorEastAsia" w:eastAsiaTheme="minorEastAsia" w:cstheme="minorEastAsia"/>
        </w:rPr>
        <w:t>本合同一式陆份，甲方执叁份，乙方执叁份。</w:t>
      </w:r>
    </w:p>
    <w:p>
      <w:pPr>
        <w:adjustRightInd w:val="0"/>
        <w:spacing w:line="360" w:lineRule="auto"/>
        <w:ind w:firstLine="420" w:firstLineChars="200"/>
        <w:textAlignment w:val="baseline"/>
        <w:rPr>
          <w:rFonts w:asciiTheme="minorEastAsia" w:hAnsiTheme="minorEastAsia" w:eastAsiaTheme="minorEastAsia" w:cstheme="minorEastAsia"/>
        </w:rPr>
      </w:pPr>
    </w:p>
    <w:p>
      <w:pPr>
        <w:adjustRightInd w:val="0"/>
        <w:snapToGrid w:val="0"/>
        <w:spacing w:line="360" w:lineRule="auto"/>
        <w:ind w:firstLine="420" w:firstLineChars="200"/>
        <w:textAlignment w:val="baseline"/>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甲方1：                                     乙方：</w:t>
      </w:r>
    </w:p>
    <w:p>
      <w:pPr>
        <w:adjustRightInd w:val="0"/>
        <w:snapToGrid w:val="0"/>
        <w:spacing w:line="360" w:lineRule="auto"/>
        <w:ind w:firstLine="420" w:firstLineChars="200"/>
        <w:textAlignment w:val="baseline"/>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联系地址：                                 联系地址：</w:t>
      </w:r>
    </w:p>
    <w:p>
      <w:pPr>
        <w:tabs>
          <w:tab w:val="left" w:pos="4938"/>
          <w:tab w:val="left" w:pos="5208"/>
        </w:tabs>
        <w:adjustRightInd w:val="0"/>
        <w:snapToGrid w:val="0"/>
        <w:spacing w:line="360" w:lineRule="auto"/>
        <w:ind w:firstLine="420" w:firstLineChars="200"/>
        <w:textAlignment w:val="baseline"/>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法定代表人：                             法定代表人：   </w:t>
      </w:r>
    </w:p>
    <w:p>
      <w:pPr>
        <w:adjustRightInd w:val="0"/>
        <w:snapToGrid w:val="0"/>
        <w:spacing w:line="360" w:lineRule="auto"/>
        <w:ind w:firstLine="420" w:firstLineChars="200"/>
        <w:textAlignment w:val="baseline"/>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委托代理人：                              委托代理人：   </w:t>
      </w:r>
    </w:p>
    <w:p>
      <w:pPr>
        <w:adjustRightInd w:val="0"/>
        <w:snapToGrid w:val="0"/>
        <w:spacing w:line="360" w:lineRule="auto"/>
        <w:ind w:firstLine="420" w:firstLineChars="200"/>
        <w:jc w:val="center"/>
        <w:textAlignment w:val="baseline"/>
        <w:rPr>
          <w:rFonts w:asciiTheme="minorEastAsia" w:hAnsiTheme="minorEastAsia" w:eastAsiaTheme="minorEastAsia" w:cstheme="minorEastAsia"/>
          <w:kern w:val="0"/>
          <w:szCs w:val="21"/>
        </w:rPr>
      </w:pPr>
    </w:p>
    <w:p>
      <w:pPr>
        <w:adjustRightInd w:val="0"/>
        <w:spacing w:line="360" w:lineRule="auto"/>
        <w:ind w:firstLine="420" w:firstLineChars="200"/>
        <w:jc w:val="left"/>
        <w:textAlignment w:val="baseline"/>
        <w:rPr>
          <w:rFonts w:asciiTheme="minorEastAsia" w:hAnsiTheme="minorEastAsia" w:eastAsiaTheme="minorEastAsia" w:cstheme="minorEastAsia"/>
          <w:sz w:val="28"/>
        </w:rPr>
      </w:pPr>
      <w:r>
        <w:rPr>
          <w:rFonts w:hint="eastAsia" w:asciiTheme="minorEastAsia" w:hAnsiTheme="minorEastAsia" w:eastAsiaTheme="minorEastAsia" w:cstheme="minorEastAsia"/>
          <w:szCs w:val="21"/>
        </w:rPr>
        <w:t>签约日期：    年    月  日</w:t>
      </w:r>
    </w:p>
    <w:p>
      <w:pPr>
        <w:adjustRightInd w:val="0"/>
        <w:spacing w:line="360" w:lineRule="auto"/>
        <w:ind w:firstLine="420" w:firstLineChars="200"/>
        <w:textAlignment w:val="baseline"/>
        <w:rPr>
          <w:rFonts w:asciiTheme="minorEastAsia" w:hAnsiTheme="minorEastAsia" w:eastAsiaTheme="minorEastAsia" w:cstheme="minorEastAsia"/>
        </w:rPr>
      </w:pPr>
    </w:p>
    <w:p>
      <w:pPr>
        <w:spacing w:line="440" w:lineRule="exact"/>
        <w:rPr>
          <w:rFonts w:ascii="宋体" w:hAnsi="宋体" w:cs="宋体"/>
        </w:rPr>
      </w:pPr>
    </w:p>
    <w:p>
      <w:pPr>
        <w:keepNext/>
        <w:keepLines/>
        <w:spacing w:before="120" w:after="120" w:line="360" w:lineRule="auto"/>
        <w:jc w:val="center"/>
        <w:outlineLvl w:val="0"/>
        <w:rPr>
          <w:rFonts w:ascii="宋体" w:cs="宋体"/>
          <w:b/>
          <w:kern w:val="44"/>
          <w:sz w:val="44"/>
          <w:szCs w:val="20"/>
        </w:rPr>
      </w:pPr>
      <w:bookmarkStart w:id="513" w:name="_Toc144805969"/>
      <w:r>
        <w:rPr>
          <w:rFonts w:hint="eastAsia" w:ascii="宋体" w:hAnsi="宋体" w:cs="宋体"/>
          <w:b/>
          <w:kern w:val="44"/>
          <w:sz w:val="44"/>
          <w:szCs w:val="20"/>
        </w:rPr>
        <w:t>第五章</w:t>
      </w:r>
      <w:bookmarkEnd w:id="473"/>
      <w:r>
        <w:rPr>
          <w:rFonts w:hint="eastAsia" w:ascii="宋体" w:hAnsi="宋体" w:cs="宋体"/>
          <w:b/>
          <w:kern w:val="44"/>
          <w:sz w:val="44"/>
          <w:szCs w:val="20"/>
        </w:rPr>
        <w:t xml:space="preserve"> 项目需求</w:t>
      </w:r>
      <w:bookmarkEnd w:id="513"/>
    </w:p>
    <w:p>
      <w:pPr>
        <w:spacing w:line="440" w:lineRule="exact"/>
        <w:ind w:right="-107" w:rightChars="-51"/>
        <w:outlineLvl w:val="0"/>
        <w:rPr>
          <w:rFonts w:ascii="宋体" w:hAnsi="宋体"/>
          <w:b/>
          <w:bCs/>
          <w:szCs w:val="21"/>
        </w:rPr>
      </w:pPr>
      <w:bookmarkStart w:id="514" w:name="_Toc21885"/>
      <w:bookmarkEnd w:id="514"/>
      <w:bookmarkStart w:id="515" w:name="_Toc144805970"/>
      <w:bookmarkStart w:id="516" w:name="_Toc163629751"/>
      <w:bookmarkStart w:id="517" w:name="_Toc522347554"/>
      <w:bookmarkStart w:id="518" w:name="_Toc521839351"/>
      <w:bookmarkStart w:id="519" w:name="_Toc189726853"/>
      <w:bookmarkStart w:id="520" w:name="_Toc142623417"/>
      <w:bookmarkStart w:id="521" w:name="_Toc25032666"/>
      <w:r>
        <w:rPr>
          <w:rFonts w:hint="eastAsia" w:ascii="宋体" w:hAnsi="宋体"/>
          <w:b/>
          <w:bCs/>
          <w:szCs w:val="21"/>
        </w:rPr>
        <w:t>一、招标采购清单、图纸</w:t>
      </w:r>
      <w:bookmarkEnd w:id="515"/>
    </w:p>
    <w:p>
      <w:pPr>
        <w:spacing w:line="440" w:lineRule="exact"/>
        <w:ind w:right="-107" w:rightChars="-51"/>
        <w:outlineLvl w:val="0"/>
        <w:rPr>
          <w:rFonts w:ascii="宋体" w:hAnsi="宋体"/>
          <w:szCs w:val="21"/>
        </w:rPr>
      </w:pPr>
      <w:bookmarkStart w:id="522" w:name="_Toc144805971"/>
      <w:r>
        <w:rPr>
          <w:rFonts w:hint="eastAsia" w:ascii="宋体" w:hAnsi="宋体"/>
          <w:szCs w:val="21"/>
        </w:rPr>
        <w:t>1、采购清单</w:t>
      </w:r>
      <w:bookmarkEnd w:id="522"/>
    </w:p>
    <w:p>
      <w:pPr>
        <w:spacing w:line="440" w:lineRule="exact"/>
        <w:ind w:right="-107" w:rightChars="-51"/>
        <w:outlineLvl w:val="0"/>
        <w:rPr>
          <w:rFonts w:ascii="宋体" w:hAnsi="宋体"/>
          <w:szCs w:val="21"/>
        </w:rPr>
      </w:pPr>
      <w:bookmarkStart w:id="523" w:name="_Toc144805972"/>
      <w:r>
        <w:rPr>
          <w:rFonts w:hint="eastAsia" w:ascii="宋体" w:hAnsi="宋体"/>
          <w:szCs w:val="21"/>
        </w:rPr>
        <w:t>另附</w:t>
      </w:r>
      <w:r>
        <w:rPr>
          <w:rFonts w:hint="eastAsia" w:ascii="宋体" w:hAnsi="宋体" w:cs="宋体"/>
          <w:bCs/>
          <w:kern w:val="0"/>
          <w:szCs w:val="21"/>
        </w:rPr>
        <w:t>。</w:t>
      </w:r>
      <w:bookmarkEnd w:id="523"/>
    </w:p>
    <w:p>
      <w:pPr>
        <w:spacing w:line="440" w:lineRule="exact"/>
        <w:rPr>
          <w:rFonts w:ascii="宋体" w:hAnsi="宋体" w:cs="宋体"/>
          <w:bCs/>
          <w:kern w:val="0"/>
          <w:szCs w:val="21"/>
        </w:rPr>
      </w:pPr>
      <w:r>
        <w:rPr>
          <w:rFonts w:hint="eastAsia" w:ascii="宋体" w:hAnsi="宋体" w:cs="宋体"/>
          <w:bCs/>
          <w:kern w:val="0"/>
          <w:szCs w:val="21"/>
        </w:rPr>
        <w:t>2、图纸</w:t>
      </w:r>
    </w:p>
    <w:p>
      <w:pPr>
        <w:spacing w:line="440" w:lineRule="exact"/>
        <w:rPr>
          <w:rFonts w:ascii="宋体" w:hAnsi="宋体" w:cs="宋体"/>
          <w:bCs/>
          <w:kern w:val="0"/>
          <w:szCs w:val="21"/>
        </w:rPr>
      </w:pPr>
      <w:r>
        <w:rPr>
          <w:rFonts w:hint="eastAsia" w:ascii="宋体" w:hAnsi="宋体"/>
          <w:szCs w:val="21"/>
        </w:rPr>
        <w:t>另附</w:t>
      </w:r>
      <w:r>
        <w:rPr>
          <w:rFonts w:hint="eastAsia" w:ascii="宋体" w:hAnsi="宋体" w:cs="宋体"/>
          <w:bCs/>
          <w:kern w:val="0"/>
          <w:szCs w:val="21"/>
        </w:rPr>
        <w:t>。</w:t>
      </w:r>
    </w:p>
    <w:p>
      <w:pPr>
        <w:spacing w:line="440" w:lineRule="exact"/>
        <w:rPr>
          <w:rFonts w:ascii="宋体" w:hAnsi="宋体"/>
          <w:b/>
          <w:bCs/>
        </w:rPr>
      </w:pPr>
      <w:r>
        <w:rPr>
          <w:rFonts w:hint="eastAsia" w:ascii="宋体" w:hAnsi="宋体"/>
          <w:b/>
          <w:bCs/>
        </w:rPr>
        <w:t>二、交流充电桩技术要求</w:t>
      </w:r>
    </w:p>
    <w:p>
      <w:pPr>
        <w:keepNext/>
        <w:keepLines/>
        <w:spacing w:before="20" w:after="20" w:line="415" w:lineRule="auto"/>
        <w:ind w:firstLine="102" w:firstLineChars="49"/>
        <w:outlineLvl w:val="2"/>
        <w:rPr>
          <w:rFonts w:ascii="宋体" w:hAnsi="宋体"/>
          <w:szCs w:val="21"/>
        </w:rPr>
      </w:pPr>
      <w:bookmarkStart w:id="524" w:name="_Toc510514519"/>
      <w:bookmarkStart w:id="525" w:name="_Toc478404367"/>
      <w:bookmarkStart w:id="526" w:name="_Toc413504320"/>
      <w:bookmarkStart w:id="527" w:name="_Toc510514521"/>
      <w:bookmarkStart w:id="528" w:name="_Toc478404369"/>
      <w:bookmarkStart w:id="529" w:name="_Toc352274279"/>
      <w:bookmarkStart w:id="530" w:name="_Toc255074827"/>
      <w:bookmarkStart w:id="531" w:name="_Toc253150291"/>
      <w:bookmarkStart w:id="532" w:name="_Toc351107611"/>
      <w:bookmarkStart w:id="533" w:name="_Toc155151667"/>
      <w:bookmarkStart w:id="534" w:name="_Toc413504322"/>
      <w:bookmarkStart w:id="535" w:name="_Toc351107508"/>
      <w:bookmarkStart w:id="536" w:name="_Toc351107793"/>
      <w:r>
        <w:rPr>
          <w:rFonts w:hint="eastAsia" w:ascii="宋体" w:hAnsi="宋体"/>
          <w:szCs w:val="21"/>
        </w:rPr>
        <w:t>1.1技术参数</w:t>
      </w:r>
      <w:bookmarkEnd w:id="524"/>
      <w:bookmarkEnd w:id="525"/>
      <w:bookmarkEnd w:id="526"/>
    </w:p>
    <w:p>
      <w:pPr>
        <w:tabs>
          <w:tab w:val="left" w:pos="525"/>
          <w:tab w:val="left" w:pos="1140"/>
        </w:tabs>
        <w:adjustRightInd w:val="0"/>
        <w:snapToGrid w:val="0"/>
        <w:spacing w:line="360" w:lineRule="auto"/>
        <w:rPr>
          <w:rFonts w:ascii="宋体" w:hAnsi="宋体"/>
          <w:b/>
          <w:szCs w:val="21"/>
        </w:rPr>
      </w:pPr>
      <w:r>
        <w:rPr>
          <w:rFonts w:hint="eastAsia" w:ascii="宋体" w:hAnsi="宋体"/>
          <w:b/>
          <w:szCs w:val="21"/>
        </w:rPr>
        <w:t>（1）环境条件</w:t>
      </w:r>
    </w:p>
    <w:p>
      <w:pPr>
        <w:overflowPunct w:val="0"/>
        <w:topLinePunct/>
        <w:adjustRightInd w:val="0"/>
        <w:snapToGrid w:val="0"/>
        <w:spacing w:line="360" w:lineRule="auto"/>
        <w:ind w:firstLine="420" w:firstLineChars="200"/>
        <w:rPr>
          <w:rFonts w:ascii="宋体" w:hAnsi="宋体"/>
          <w:szCs w:val="21"/>
        </w:rPr>
      </w:pPr>
      <w:r>
        <w:rPr>
          <w:rFonts w:hint="eastAsia" w:ascii="宋体" w:hAnsi="宋体"/>
          <w:szCs w:val="21"/>
        </w:rPr>
        <w:t>环境温度：-</w:t>
      </w:r>
      <w:r>
        <w:rPr>
          <w:rFonts w:ascii="宋体" w:hAnsi="宋体"/>
          <w:szCs w:val="21"/>
        </w:rPr>
        <w:t>2</w:t>
      </w:r>
      <w:r>
        <w:rPr>
          <w:rFonts w:hint="eastAsia" w:ascii="宋体" w:hAnsi="宋体"/>
          <w:szCs w:val="21"/>
        </w:rPr>
        <w:t>0℃～50℃；</w:t>
      </w:r>
    </w:p>
    <w:p>
      <w:pPr>
        <w:overflowPunct w:val="0"/>
        <w:topLinePunct/>
        <w:adjustRightInd w:val="0"/>
        <w:snapToGrid w:val="0"/>
        <w:spacing w:line="360" w:lineRule="auto"/>
        <w:ind w:firstLine="420" w:firstLineChars="200"/>
        <w:rPr>
          <w:rFonts w:ascii="宋体" w:hAnsi="宋体"/>
          <w:szCs w:val="21"/>
        </w:rPr>
      </w:pPr>
      <w:r>
        <w:rPr>
          <w:rFonts w:hint="eastAsia" w:ascii="宋体" w:hAnsi="宋体"/>
          <w:szCs w:val="21"/>
        </w:rPr>
        <w:t>相对湿度：5％～95％；</w:t>
      </w:r>
    </w:p>
    <w:p>
      <w:pPr>
        <w:overflowPunct w:val="0"/>
        <w:topLinePunct/>
        <w:adjustRightInd w:val="0"/>
        <w:snapToGrid w:val="0"/>
        <w:spacing w:line="360" w:lineRule="auto"/>
        <w:ind w:firstLine="420" w:firstLineChars="200"/>
        <w:rPr>
          <w:rFonts w:ascii="宋体" w:hAnsi="宋体"/>
          <w:szCs w:val="21"/>
        </w:rPr>
      </w:pPr>
      <w:r>
        <w:rPr>
          <w:rFonts w:hint="eastAsia" w:ascii="宋体" w:hAnsi="宋体"/>
          <w:szCs w:val="21"/>
        </w:rPr>
        <w:t>海拔高度：≤2000m；</w:t>
      </w:r>
    </w:p>
    <w:p>
      <w:pPr>
        <w:overflowPunct w:val="0"/>
        <w:topLinePunct/>
        <w:adjustRightInd w:val="0"/>
        <w:snapToGrid w:val="0"/>
        <w:spacing w:line="360" w:lineRule="auto"/>
        <w:ind w:firstLine="420" w:firstLineChars="200"/>
        <w:rPr>
          <w:rFonts w:ascii="宋体" w:hAnsi="宋体"/>
          <w:szCs w:val="21"/>
        </w:rPr>
      </w:pPr>
      <w:r>
        <w:rPr>
          <w:rFonts w:hint="eastAsia" w:ascii="宋体" w:hAnsi="宋体"/>
          <w:szCs w:val="21"/>
        </w:rPr>
        <w:t>大气压强：</w:t>
      </w:r>
      <w:r>
        <w:rPr>
          <w:rFonts w:ascii="宋体" w:hAnsi="宋体"/>
          <w:szCs w:val="21"/>
        </w:rPr>
        <w:t>80kPa</w:t>
      </w:r>
      <w:r>
        <w:rPr>
          <w:rFonts w:hint="eastAsia" w:ascii="宋体" w:hAnsi="宋体"/>
          <w:szCs w:val="21"/>
        </w:rPr>
        <w:t>～</w:t>
      </w:r>
      <w:r>
        <w:rPr>
          <w:rFonts w:ascii="宋体" w:hAnsi="宋体"/>
          <w:szCs w:val="21"/>
        </w:rPr>
        <w:t>110kPa</w:t>
      </w:r>
      <w:r>
        <w:rPr>
          <w:rFonts w:hint="eastAsia" w:ascii="宋体" w:hAnsi="宋体"/>
          <w:szCs w:val="21"/>
        </w:rPr>
        <w:t>。</w:t>
      </w:r>
    </w:p>
    <w:p>
      <w:pPr>
        <w:tabs>
          <w:tab w:val="left" w:pos="525"/>
          <w:tab w:val="left" w:pos="1140"/>
        </w:tabs>
        <w:adjustRightInd w:val="0"/>
        <w:snapToGrid w:val="0"/>
        <w:spacing w:line="360" w:lineRule="auto"/>
        <w:rPr>
          <w:rFonts w:ascii="宋体" w:hAnsi="宋体"/>
          <w:b/>
          <w:szCs w:val="21"/>
        </w:rPr>
      </w:pPr>
      <w:r>
        <w:rPr>
          <w:rFonts w:hint="eastAsia" w:ascii="宋体" w:hAnsi="宋体"/>
          <w:b/>
          <w:szCs w:val="21"/>
        </w:rPr>
        <w:t>（2）电源条件</w:t>
      </w:r>
    </w:p>
    <w:p>
      <w:pPr>
        <w:overflowPunct w:val="0"/>
        <w:topLinePunct/>
        <w:adjustRightInd w:val="0"/>
        <w:snapToGrid w:val="0"/>
        <w:spacing w:line="360" w:lineRule="auto"/>
        <w:ind w:firstLine="420" w:firstLineChars="200"/>
        <w:rPr>
          <w:rFonts w:ascii="宋体" w:hAnsi="宋体"/>
          <w:szCs w:val="21"/>
        </w:rPr>
      </w:pPr>
      <w:r>
        <w:rPr>
          <w:rFonts w:hint="eastAsia" w:ascii="宋体" w:hAnsi="宋体"/>
          <w:szCs w:val="21"/>
        </w:rPr>
        <w:t>电源</w:t>
      </w:r>
      <w:r>
        <w:rPr>
          <w:rFonts w:ascii="宋体" w:hAnsi="宋体"/>
          <w:szCs w:val="21"/>
        </w:rPr>
        <w:t>电压</w:t>
      </w:r>
      <w:r>
        <w:rPr>
          <w:rFonts w:hint="eastAsia" w:ascii="宋体" w:hAnsi="宋体"/>
          <w:szCs w:val="21"/>
        </w:rPr>
        <w:t>：单相220V±</w:t>
      </w:r>
      <w:r>
        <w:rPr>
          <w:rFonts w:ascii="宋体" w:hAnsi="宋体"/>
          <w:szCs w:val="21"/>
        </w:rPr>
        <w:t>15</w:t>
      </w:r>
      <w:r>
        <w:rPr>
          <w:rFonts w:hint="eastAsia" w:ascii="宋体" w:hAnsi="宋体"/>
          <w:szCs w:val="21"/>
        </w:rPr>
        <w:t>％；</w:t>
      </w:r>
    </w:p>
    <w:p>
      <w:pPr>
        <w:overflowPunct w:val="0"/>
        <w:topLinePunct/>
        <w:adjustRightInd w:val="0"/>
        <w:snapToGrid w:val="0"/>
        <w:spacing w:line="360" w:lineRule="auto"/>
        <w:ind w:firstLine="420" w:firstLineChars="200"/>
        <w:rPr>
          <w:rFonts w:ascii="宋体" w:hAnsi="宋体"/>
          <w:szCs w:val="21"/>
        </w:rPr>
      </w:pPr>
      <w:r>
        <w:rPr>
          <w:rFonts w:hint="eastAsia" w:ascii="宋体" w:hAnsi="宋体"/>
          <w:szCs w:val="21"/>
        </w:rPr>
        <w:t>电源频率：50Hz±1Hz。</w:t>
      </w:r>
    </w:p>
    <w:p>
      <w:pPr>
        <w:tabs>
          <w:tab w:val="left" w:pos="525"/>
          <w:tab w:val="left" w:pos="1140"/>
        </w:tabs>
        <w:adjustRightInd w:val="0"/>
        <w:snapToGrid w:val="0"/>
        <w:spacing w:line="360" w:lineRule="auto"/>
        <w:rPr>
          <w:rFonts w:ascii="宋体" w:hAnsi="宋体"/>
          <w:b/>
          <w:szCs w:val="21"/>
        </w:rPr>
      </w:pPr>
      <w:r>
        <w:rPr>
          <w:rFonts w:hint="eastAsia" w:ascii="宋体" w:hAnsi="宋体"/>
          <w:b/>
          <w:szCs w:val="21"/>
        </w:rPr>
        <w:t>（3）额定电压</w:t>
      </w:r>
    </w:p>
    <w:p>
      <w:pPr>
        <w:overflowPunct w:val="0"/>
        <w:topLinePunct/>
        <w:adjustRightInd w:val="0"/>
        <w:snapToGrid w:val="0"/>
        <w:spacing w:line="360" w:lineRule="auto"/>
        <w:ind w:firstLine="420" w:firstLineChars="200"/>
        <w:rPr>
          <w:rFonts w:ascii="宋体" w:hAnsi="宋体"/>
          <w:szCs w:val="21"/>
        </w:rPr>
      </w:pPr>
      <w:r>
        <w:rPr>
          <w:rFonts w:hint="eastAsia" w:ascii="宋体" w:hAnsi="宋体"/>
          <w:szCs w:val="21"/>
        </w:rPr>
        <w:t>单相220V。</w:t>
      </w:r>
    </w:p>
    <w:p>
      <w:pPr>
        <w:tabs>
          <w:tab w:val="left" w:pos="525"/>
          <w:tab w:val="left" w:pos="1140"/>
        </w:tabs>
        <w:adjustRightInd w:val="0"/>
        <w:snapToGrid w:val="0"/>
        <w:spacing w:line="360" w:lineRule="auto"/>
        <w:rPr>
          <w:rFonts w:ascii="宋体" w:hAnsi="宋体"/>
          <w:b/>
          <w:szCs w:val="21"/>
        </w:rPr>
      </w:pPr>
      <w:r>
        <w:rPr>
          <w:rFonts w:hint="eastAsia" w:ascii="宋体" w:hAnsi="宋体"/>
          <w:b/>
          <w:szCs w:val="21"/>
        </w:rPr>
        <w:t>（4）额定电流</w:t>
      </w:r>
    </w:p>
    <w:p>
      <w:pPr>
        <w:overflowPunct w:val="0"/>
        <w:topLinePunct/>
        <w:adjustRightInd w:val="0"/>
        <w:snapToGrid w:val="0"/>
        <w:spacing w:line="360" w:lineRule="auto"/>
        <w:ind w:firstLine="420" w:firstLineChars="200"/>
        <w:rPr>
          <w:rFonts w:ascii="宋体" w:hAnsi="宋体"/>
          <w:szCs w:val="21"/>
        </w:rPr>
      </w:pPr>
      <w:r>
        <w:rPr>
          <w:rFonts w:hint="eastAsia" w:ascii="宋体" w:hAnsi="宋体"/>
          <w:szCs w:val="21"/>
        </w:rPr>
        <w:t>32A。</w:t>
      </w:r>
    </w:p>
    <w:p>
      <w:pPr>
        <w:tabs>
          <w:tab w:val="left" w:pos="525"/>
          <w:tab w:val="left" w:pos="1140"/>
        </w:tabs>
        <w:adjustRightInd w:val="0"/>
        <w:snapToGrid w:val="0"/>
        <w:spacing w:line="360" w:lineRule="auto"/>
        <w:rPr>
          <w:rFonts w:ascii="宋体" w:hAnsi="宋体"/>
          <w:b/>
          <w:szCs w:val="21"/>
        </w:rPr>
      </w:pPr>
      <w:r>
        <w:rPr>
          <w:rFonts w:hint="eastAsia" w:ascii="宋体" w:hAnsi="宋体"/>
          <w:b/>
          <w:szCs w:val="21"/>
        </w:rPr>
        <w:t>（5）结构形式</w:t>
      </w:r>
    </w:p>
    <w:p>
      <w:pPr>
        <w:overflowPunct w:val="0"/>
        <w:topLinePunct/>
        <w:adjustRightInd w:val="0"/>
        <w:snapToGrid w:val="0"/>
        <w:spacing w:line="360" w:lineRule="auto"/>
        <w:ind w:firstLine="420" w:firstLineChars="200"/>
        <w:rPr>
          <w:rFonts w:ascii="宋体" w:hAnsi="宋体"/>
          <w:szCs w:val="21"/>
        </w:rPr>
      </w:pPr>
      <w:r>
        <w:rPr>
          <w:rFonts w:hint="eastAsia" w:ascii="宋体" w:hAnsi="宋体"/>
          <w:szCs w:val="21"/>
        </w:rPr>
        <w:t>立柱式充电桩。</w:t>
      </w:r>
    </w:p>
    <w:p>
      <w:pPr>
        <w:tabs>
          <w:tab w:val="left" w:pos="525"/>
          <w:tab w:val="left" w:pos="1140"/>
        </w:tabs>
        <w:adjustRightInd w:val="0"/>
        <w:snapToGrid w:val="0"/>
        <w:spacing w:line="360" w:lineRule="auto"/>
        <w:rPr>
          <w:rFonts w:ascii="宋体" w:hAnsi="宋体"/>
          <w:b/>
          <w:szCs w:val="21"/>
        </w:rPr>
      </w:pPr>
      <w:r>
        <w:rPr>
          <w:rFonts w:hint="eastAsia" w:ascii="宋体" w:hAnsi="宋体"/>
          <w:b/>
          <w:szCs w:val="21"/>
        </w:rPr>
        <w:t>（6）输出形式</w:t>
      </w:r>
    </w:p>
    <w:p>
      <w:pPr>
        <w:overflowPunct w:val="0"/>
        <w:topLinePunct/>
        <w:adjustRightInd w:val="0"/>
        <w:snapToGrid w:val="0"/>
        <w:spacing w:line="360" w:lineRule="auto"/>
        <w:ind w:firstLine="420" w:firstLineChars="200"/>
        <w:rPr>
          <w:rFonts w:ascii="宋体" w:hAnsi="宋体"/>
          <w:szCs w:val="21"/>
        </w:rPr>
      </w:pPr>
      <w:r>
        <w:rPr>
          <w:rFonts w:hint="eastAsia" w:ascii="宋体" w:hAnsi="宋体"/>
          <w:szCs w:val="21"/>
        </w:rPr>
        <w:t>每台交流</w:t>
      </w:r>
      <w:r>
        <w:rPr>
          <w:rFonts w:ascii="宋体" w:hAnsi="宋体"/>
          <w:szCs w:val="21"/>
        </w:rPr>
        <w:t>充电桩配置1套</w:t>
      </w:r>
      <w:r>
        <w:rPr>
          <w:rFonts w:hint="eastAsia" w:ascii="宋体" w:hAnsi="宋体"/>
          <w:szCs w:val="21"/>
        </w:rPr>
        <w:t>交</w:t>
      </w:r>
      <w:r>
        <w:rPr>
          <w:rFonts w:ascii="宋体" w:hAnsi="宋体"/>
          <w:szCs w:val="21"/>
        </w:rPr>
        <w:t>流充电接口</w:t>
      </w:r>
      <w:r>
        <w:rPr>
          <w:rFonts w:hint="eastAsia" w:ascii="宋体" w:hAnsi="宋体"/>
          <w:szCs w:val="21"/>
        </w:rPr>
        <w:t>。</w:t>
      </w:r>
    </w:p>
    <w:p>
      <w:pPr>
        <w:keepNext/>
        <w:keepLines/>
        <w:spacing w:before="20" w:after="20" w:line="415" w:lineRule="auto"/>
        <w:ind w:firstLine="102" w:firstLineChars="49"/>
        <w:outlineLvl w:val="2"/>
        <w:rPr>
          <w:rFonts w:ascii="宋体" w:hAnsi="宋体"/>
          <w:szCs w:val="21"/>
        </w:rPr>
      </w:pPr>
      <w:bookmarkStart w:id="537" w:name="_Toc478404368"/>
      <w:bookmarkStart w:id="538" w:name="_Toc510514520"/>
      <w:bookmarkStart w:id="539" w:name="_Toc352274278"/>
      <w:bookmarkStart w:id="540" w:name="_Toc413504321"/>
      <w:r>
        <w:rPr>
          <w:rFonts w:hint="eastAsia" w:ascii="宋体" w:hAnsi="宋体"/>
          <w:szCs w:val="21"/>
        </w:rPr>
        <w:t>1.2功能要求</w:t>
      </w:r>
      <w:bookmarkEnd w:id="537"/>
      <w:bookmarkEnd w:id="538"/>
      <w:bookmarkEnd w:id="539"/>
      <w:bookmarkEnd w:id="540"/>
    </w:p>
    <w:p>
      <w:pPr>
        <w:tabs>
          <w:tab w:val="left" w:pos="525"/>
          <w:tab w:val="left" w:pos="1140"/>
        </w:tabs>
        <w:adjustRightInd w:val="0"/>
        <w:snapToGrid w:val="0"/>
        <w:spacing w:line="360" w:lineRule="auto"/>
        <w:rPr>
          <w:rFonts w:ascii="宋体" w:hAnsi="宋体"/>
          <w:b/>
          <w:szCs w:val="21"/>
        </w:rPr>
      </w:pPr>
      <w:r>
        <w:rPr>
          <w:rFonts w:hint="eastAsia" w:ascii="宋体" w:hAnsi="宋体"/>
          <w:b/>
          <w:szCs w:val="21"/>
        </w:rPr>
        <w:t>（1）计量功能</w:t>
      </w:r>
    </w:p>
    <w:p>
      <w:pPr>
        <w:overflowPunct w:val="0"/>
        <w:topLinePunct/>
        <w:adjustRightInd w:val="0"/>
        <w:snapToGrid w:val="0"/>
        <w:spacing w:line="360" w:lineRule="auto"/>
        <w:ind w:firstLine="420" w:firstLineChars="200"/>
        <w:rPr>
          <w:rFonts w:ascii="宋体" w:hAnsi="宋体"/>
          <w:szCs w:val="21"/>
        </w:rPr>
      </w:pPr>
      <w:r>
        <w:rPr>
          <w:rFonts w:hint="eastAsia" w:ascii="宋体" w:hAnsi="宋体"/>
          <w:szCs w:val="21"/>
        </w:rPr>
        <w:t>电能计量装置应符合国家计量器具鉴定相关要求。</w:t>
      </w:r>
    </w:p>
    <w:p>
      <w:pPr>
        <w:tabs>
          <w:tab w:val="left" w:pos="525"/>
          <w:tab w:val="left" w:pos="1140"/>
        </w:tabs>
        <w:adjustRightInd w:val="0"/>
        <w:snapToGrid w:val="0"/>
        <w:spacing w:line="360" w:lineRule="auto"/>
        <w:rPr>
          <w:rFonts w:ascii="宋体" w:hAnsi="宋体"/>
          <w:b/>
          <w:szCs w:val="21"/>
        </w:rPr>
      </w:pPr>
      <w:r>
        <w:rPr>
          <w:rFonts w:hint="eastAsia" w:ascii="宋体" w:hAnsi="宋体"/>
          <w:b/>
          <w:szCs w:val="21"/>
        </w:rPr>
        <w:t>（2）人机交互功能</w:t>
      </w:r>
    </w:p>
    <w:p>
      <w:pPr>
        <w:overflowPunct w:val="0"/>
        <w:topLinePunct/>
        <w:adjustRightInd w:val="0"/>
        <w:snapToGrid w:val="0"/>
        <w:spacing w:line="360" w:lineRule="auto"/>
        <w:ind w:firstLine="420" w:firstLineChars="200"/>
        <w:rPr>
          <w:rFonts w:ascii="宋体" w:hAnsi="宋体"/>
          <w:szCs w:val="21"/>
        </w:rPr>
      </w:pPr>
      <w:r>
        <w:rPr>
          <w:rFonts w:hint="eastAsia" w:ascii="宋体" w:hAnsi="宋体"/>
          <w:szCs w:val="21"/>
        </w:rPr>
        <w:t>充电桩应能显示各状态下的相关信息，包括电源、充电、故障状态指示及报警信息等。</w:t>
      </w:r>
    </w:p>
    <w:p>
      <w:pPr>
        <w:overflowPunct w:val="0"/>
        <w:topLinePunct/>
        <w:adjustRightInd w:val="0"/>
        <w:snapToGrid w:val="0"/>
        <w:spacing w:line="360" w:lineRule="auto"/>
        <w:ind w:firstLine="420" w:firstLineChars="200"/>
        <w:rPr>
          <w:rFonts w:ascii="宋体" w:hAnsi="宋体"/>
          <w:szCs w:val="21"/>
        </w:rPr>
      </w:pPr>
      <w:r>
        <w:rPr>
          <w:rFonts w:hint="eastAsia" w:ascii="宋体" w:hAnsi="宋体"/>
          <w:szCs w:val="21"/>
        </w:rPr>
        <w:t>基本的普通刷卡启动充电。</w:t>
      </w:r>
    </w:p>
    <w:p>
      <w:pPr>
        <w:overflowPunct w:val="0"/>
        <w:topLinePunct/>
        <w:adjustRightInd w:val="0"/>
        <w:snapToGrid w:val="0"/>
        <w:spacing w:line="360" w:lineRule="auto"/>
        <w:ind w:firstLine="420" w:firstLineChars="200"/>
        <w:rPr>
          <w:rFonts w:ascii="宋体" w:hAnsi="宋体"/>
          <w:szCs w:val="21"/>
        </w:rPr>
      </w:pPr>
      <w:r>
        <w:rPr>
          <w:rFonts w:hint="eastAsia" w:ascii="宋体" w:hAnsi="宋体"/>
          <w:szCs w:val="21"/>
        </w:rPr>
        <w:t>通信功能，支持4G通讯功能。APP扫码、蓝牙一键启动，APP预约启动。</w:t>
      </w:r>
    </w:p>
    <w:p>
      <w:pPr>
        <w:tabs>
          <w:tab w:val="left" w:pos="525"/>
          <w:tab w:val="left" w:pos="1140"/>
        </w:tabs>
        <w:adjustRightInd w:val="0"/>
        <w:snapToGrid w:val="0"/>
        <w:spacing w:line="360" w:lineRule="auto"/>
        <w:rPr>
          <w:rFonts w:ascii="宋体" w:hAnsi="宋体"/>
          <w:b/>
          <w:szCs w:val="21"/>
        </w:rPr>
      </w:pPr>
      <w:r>
        <w:rPr>
          <w:rFonts w:hint="eastAsia" w:ascii="宋体" w:hAnsi="宋体"/>
          <w:b/>
          <w:szCs w:val="21"/>
        </w:rPr>
        <w:t>（3）保护功能</w:t>
      </w:r>
    </w:p>
    <w:p>
      <w:pPr>
        <w:overflowPunct w:val="0"/>
        <w:topLinePunct/>
        <w:adjustRightInd w:val="0"/>
        <w:snapToGrid w:val="0"/>
        <w:spacing w:line="360" w:lineRule="auto"/>
        <w:ind w:firstLine="420" w:firstLineChars="200"/>
        <w:rPr>
          <w:rFonts w:ascii="宋体" w:hAnsi="宋体"/>
          <w:szCs w:val="21"/>
        </w:rPr>
      </w:pPr>
      <w:r>
        <w:rPr>
          <w:rFonts w:hint="eastAsia" w:ascii="宋体" w:hAnsi="宋体"/>
          <w:szCs w:val="21"/>
        </w:rPr>
        <w:t>充电桩的安全性要求应满足GB/T 18487.1-2015附录A中对应的描述和要求。</w:t>
      </w:r>
    </w:p>
    <w:p>
      <w:pPr>
        <w:overflowPunct w:val="0"/>
        <w:topLinePunct/>
        <w:adjustRightInd w:val="0"/>
        <w:snapToGrid w:val="0"/>
        <w:spacing w:line="360" w:lineRule="auto"/>
        <w:ind w:firstLine="420" w:firstLineChars="200"/>
        <w:rPr>
          <w:rFonts w:ascii="宋体" w:hAnsi="宋体"/>
          <w:szCs w:val="21"/>
        </w:rPr>
      </w:pPr>
      <w:r>
        <w:rPr>
          <w:rFonts w:hint="eastAsia" w:ascii="宋体" w:hAnsi="宋体"/>
          <w:szCs w:val="21"/>
        </w:rPr>
        <w:t>充电桩的电源回路应具备带负载可分合的开关电器。</w:t>
      </w:r>
    </w:p>
    <w:p>
      <w:pPr>
        <w:overflowPunct w:val="0"/>
        <w:topLinePunct/>
        <w:adjustRightInd w:val="0"/>
        <w:snapToGrid w:val="0"/>
        <w:spacing w:line="360" w:lineRule="auto"/>
        <w:ind w:firstLine="420" w:firstLineChars="200"/>
        <w:rPr>
          <w:rFonts w:ascii="宋体" w:hAnsi="宋体"/>
          <w:szCs w:val="21"/>
        </w:rPr>
      </w:pPr>
      <w:r>
        <w:rPr>
          <w:rFonts w:hint="eastAsia" w:ascii="宋体" w:hAnsi="宋体"/>
          <w:szCs w:val="21"/>
        </w:rPr>
        <w:t>充电桩的电源回路应安装过载、短路、漏电保护装置。</w:t>
      </w:r>
    </w:p>
    <w:p>
      <w:pPr>
        <w:tabs>
          <w:tab w:val="left" w:pos="315"/>
        </w:tabs>
        <w:overflowPunct w:val="0"/>
        <w:topLinePunct/>
        <w:adjustRightInd w:val="0"/>
        <w:snapToGrid w:val="0"/>
        <w:spacing w:line="360" w:lineRule="auto"/>
        <w:ind w:firstLine="420" w:firstLineChars="200"/>
        <w:rPr>
          <w:rFonts w:ascii="宋体" w:hAnsi="宋体"/>
          <w:szCs w:val="21"/>
        </w:rPr>
      </w:pPr>
      <w:r>
        <w:rPr>
          <w:rFonts w:hint="eastAsia" w:ascii="宋体" w:hAnsi="宋体"/>
          <w:szCs w:val="21"/>
        </w:rPr>
        <w:t>充电桩的电源回路应具备防雷保护功能，并且符合</w:t>
      </w:r>
      <w:r>
        <w:rPr>
          <w:rFonts w:ascii="宋体" w:hAnsi="宋体"/>
          <w:szCs w:val="21"/>
        </w:rPr>
        <w:t>GB/T 18487.</w:t>
      </w:r>
      <w:r>
        <w:rPr>
          <w:rFonts w:hint="eastAsia" w:ascii="宋体" w:hAnsi="宋体"/>
          <w:szCs w:val="21"/>
        </w:rPr>
        <w:t>2-2017</w:t>
      </w:r>
      <w:r>
        <w:rPr>
          <w:rFonts w:ascii="宋体" w:hAnsi="宋体"/>
          <w:szCs w:val="21"/>
        </w:rPr>
        <w:t>电动车辆传导充电系统</w:t>
      </w:r>
      <w:r>
        <w:rPr>
          <w:rFonts w:hint="eastAsia" w:ascii="宋体" w:hAnsi="宋体"/>
          <w:szCs w:val="21"/>
        </w:rPr>
        <w:t>　第二部分：非车载传导供电设备电磁兼容要求</w:t>
      </w:r>
    </w:p>
    <w:p>
      <w:pPr>
        <w:overflowPunct w:val="0"/>
        <w:topLinePunct/>
        <w:adjustRightInd w:val="0"/>
        <w:snapToGrid w:val="0"/>
        <w:spacing w:line="360" w:lineRule="auto"/>
        <w:ind w:firstLine="420" w:firstLineChars="200"/>
        <w:rPr>
          <w:rFonts w:ascii="宋体" w:hAnsi="宋体"/>
          <w:szCs w:val="21"/>
        </w:rPr>
      </w:pPr>
      <w:r>
        <w:rPr>
          <w:rFonts w:hint="eastAsia" w:ascii="宋体" w:hAnsi="宋体"/>
          <w:szCs w:val="21"/>
        </w:rPr>
        <w:t>充电桩应具备急停开关，能实现在充电过程中100ms内紧急切断输出电源。</w:t>
      </w:r>
    </w:p>
    <w:p>
      <w:pPr>
        <w:overflowPunct w:val="0"/>
        <w:topLinePunct/>
        <w:adjustRightInd w:val="0"/>
        <w:snapToGrid w:val="0"/>
        <w:spacing w:line="360" w:lineRule="auto"/>
        <w:ind w:firstLine="420" w:firstLineChars="200"/>
        <w:rPr>
          <w:rFonts w:ascii="宋体" w:hAnsi="宋体"/>
          <w:szCs w:val="21"/>
        </w:rPr>
      </w:pPr>
      <w:r>
        <w:rPr>
          <w:rFonts w:hint="eastAsia" w:ascii="宋体" w:hAnsi="宋体"/>
          <w:szCs w:val="21"/>
        </w:rPr>
        <w:t>在充电过程中出现连接异常时，充电桩应立即（100ms内）自动切断输出电源。</w:t>
      </w:r>
    </w:p>
    <w:p>
      <w:pPr>
        <w:overflowPunct w:val="0"/>
        <w:topLinePunct/>
        <w:adjustRightInd w:val="0"/>
        <w:snapToGrid w:val="0"/>
        <w:spacing w:line="360" w:lineRule="auto"/>
        <w:ind w:firstLine="420" w:firstLineChars="200"/>
        <w:rPr>
          <w:rFonts w:ascii="宋体" w:hAnsi="宋体"/>
          <w:szCs w:val="21"/>
        </w:rPr>
      </w:pPr>
      <w:r>
        <w:rPr>
          <w:rFonts w:hint="eastAsia" w:ascii="宋体" w:hAnsi="宋体"/>
          <w:szCs w:val="21"/>
        </w:rPr>
        <w:t>在停止充电时，充电桩应保证输出电源回路处于断开状态。</w:t>
      </w:r>
    </w:p>
    <w:p>
      <w:pPr>
        <w:overflowPunct w:val="0"/>
        <w:topLinePunct/>
        <w:adjustRightInd w:val="0"/>
        <w:snapToGrid w:val="0"/>
        <w:spacing w:line="360" w:lineRule="auto"/>
        <w:ind w:firstLine="420" w:firstLineChars="200"/>
        <w:rPr>
          <w:rFonts w:ascii="宋体" w:hAnsi="宋体"/>
          <w:szCs w:val="21"/>
        </w:rPr>
      </w:pPr>
      <w:r>
        <w:rPr>
          <w:rFonts w:hint="eastAsia" w:ascii="宋体" w:hAnsi="宋体"/>
          <w:szCs w:val="21"/>
        </w:rPr>
        <w:t>剩余电流保护器宜采用A型。</w:t>
      </w:r>
    </w:p>
    <w:p>
      <w:pPr>
        <w:overflowPunct w:val="0"/>
        <w:topLinePunct/>
        <w:adjustRightInd w:val="0"/>
        <w:snapToGrid w:val="0"/>
        <w:spacing w:line="360" w:lineRule="auto"/>
        <w:ind w:firstLine="420" w:firstLineChars="200"/>
        <w:rPr>
          <w:rFonts w:ascii="宋体" w:hAnsi="宋体"/>
          <w:szCs w:val="21"/>
        </w:rPr>
      </w:pPr>
      <w:r>
        <w:rPr>
          <w:rFonts w:hint="eastAsia" w:ascii="宋体" w:hAnsi="宋体"/>
          <w:szCs w:val="21"/>
        </w:rPr>
        <w:t>充电桩应具备保护接地导体连续性的持续检测功能，在失去保护接地导体连续性的情况下，应在100ms内切断输出电源。</w:t>
      </w:r>
    </w:p>
    <w:p>
      <w:pPr>
        <w:tabs>
          <w:tab w:val="left" w:pos="525"/>
          <w:tab w:val="left" w:pos="1140"/>
        </w:tabs>
        <w:adjustRightInd w:val="0"/>
        <w:snapToGrid w:val="0"/>
        <w:spacing w:line="360" w:lineRule="auto"/>
        <w:rPr>
          <w:rFonts w:ascii="宋体" w:hAnsi="宋体"/>
          <w:b/>
          <w:szCs w:val="21"/>
        </w:rPr>
      </w:pPr>
      <w:r>
        <w:rPr>
          <w:rFonts w:hint="eastAsia" w:ascii="宋体" w:hAnsi="宋体"/>
          <w:b/>
          <w:szCs w:val="21"/>
        </w:rPr>
        <w:t>（4）自检功能</w:t>
      </w:r>
    </w:p>
    <w:p>
      <w:pPr>
        <w:overflowPunct w:val="0"/>
        <w:topLinePunct/>
        <w:adjustRightInd w:val="0"/>
        <w:snapToGrid w:val="0"/>
        <w:spacing w:line="360" w:lineRule="auto"/>
        <w:ind w:firstLine="420" w:firstLineChars="200"/>
        <w:rPr>
          <w:rFonts w:ascii="宋体" w:hAnsi="宋体"/>
          <w:szCs w:val="21"/>
        </w:rPr>
      </w:pPr>
      <w:r>
        <w:rPr>
          <w:rFonts w:hint="eastAsia" w:ascii="宋体" w:hAnsi="宋体"/>
          <w:szCs w:val="21"/>
        </w:rPr>
        <w:t>充电桩应具备自检及故障报警功能。</w:t>
      </w:r>
    </w:p>
    <w:p>
      <w:pPr>
        <w:tabs>
          <w:tab w:val="left" w:pos="525"/>
          <w:tab w:val="left" w:pos="1140"/>
        </w:tabs>
        <w:adjustRightInd w:val="0"/>
        <w:snapToGrid w:val="0"/>
        <w:spacing w:line="360" w:lineRule="auto"/>
        <w:rPr>
          <w:rFonts w:ascii="宋体" w:hAnsi="宋体"/>
          <w:b/>
          <w:szCs w:val="21"/>
        </w:rPr>
      </w:pPr>
      <w:r>
        <w:rPr>
          <w:rFonts w:hint="eastAsia" w:ascii="宋体" w:hAnsi="宋体"/>
          <w:b/>
          <w:szCs w:val="21"/>
        </w:rPr>
        <w:t>（5）锁止功能</w:t>
      </w:r>
    </w:p>
    <w:p>
      <w:pPr>
        <w:overflowPunct w:val="0"/>
        <w:topLinePunct/>
        <w:adjustRightInd w:val="0"/>
        <w:snapToGrid w:val="0"/>
        <w:spacing w:line="360" w:lineRule="auto"/>
        <w:ind w:firstLine="420" w:firstLineChars="200"/>
        <w:rPr>
          <w:rFonts w:ascii="宋体" w:hAnsi="宋体"/>
          <w:szCs w:val="21"/>
        </w:rPr>
      </w:pPr>
      <w:r>
        <w:rPr>
          <w:rFonts w:hint="eastAsia" w:ascii="宋体" w:hAnsi="宋体"/>
          <w:szCs w:val="21"/>
        </w:rPr>
        <w:t>交流充电电流大于16A时，供电接口插座应安装电子锁止装置，具有锁止功能，该锁止功能应符合GB/T20234.1的相关要求。防止充电过程中的意外断开。当电子锁未可靠锁止时，供电设备或电动汽车应停止充电或不启动充电。</w:t>
      </w:r>
    </w:p>
    <w:p>
      <w:pPr>
        <w:tabs>
          <w:tab w:val="left" w:pos="525"/>
          <w:tab w:val="left" w:pos="1140"/>
        </w:tabs>
        <w:adjustRightInd w:val="0"/>
        <w:snapToGrid w:val="0"/>
        <w:spacing w:line="360" w:lineRule="auto"/>
        <w:rPr>
          <w:rFonts w:ascii="宋体" w:hAnsi="宋体"/>
          <w:b/>
          <w:szCs w:val="21"/>
        </w:rPr>
      </w:pPr>
      <w:r>
        <w:rPr>
          <w:rFonts w:hint="eastAsia" w:ascii="宋体" w:hAnsi="宋体"/>
          <w:b/>
          <w:szCs w:val="21"/>
        </w:rPr>
        <w:t>（6）其他必要功能</w:t>
      </w:r>
    </w:p>
    <w:p>
      <w:pPr>
        <w:overflowPunct w:val="0"/>
        <w:topLinePunct/>
        <w:adjustRightInd w:val="0"/>
        <w:snapToGrid w:val="0"/>
        <w:spacing w:line="360" w:lineRule="auto"/>
        <w:ind w:firstLine="420" w:firstLineChars="200"/>
        <w:rPr>
          <w:rFonts w:ascii="宋体" w:hAnsi="宋体"/>
          <w:szCs w:val="21"/>
        </w:rPr>
      </w:pPr>
      <w:r>
        <w:rPr>
          <w:rFonts w:ascii="宋体" w:hAnsi="宋体"/>
          <w:szCs w:val="21"/>
        </w:rPr>
        <w:t>充电桩应具备充电枪头锁止保护功能</w:t>
      </w:r>
      <w:r>
        <w:rPr>
          <w:rFonts w:hint="eastAsia" w:ascii="宋体" w:hAnsi="宋体"/>
          <w:szCs w:val="21"/>
        </w:rPr>
        <w:t>，</w:t>
      </w:r>
      <w:r>
        <w:rPr>
          <w:rFonts w:ascii="宋体" w:hAnsi="宋体"/>
          <w:szCs w:val="21"/>
        </w:rPr>
        <w:t>防止充电桩非充电状态下</w:t>
      </w:r>
      <w:r>
        <w:rPr>
          <w:rFonts w:hint="eastAsia" w:ascii="宋体" w:hAnsi="宋体"/>
          <w:szCs w:val="21"/>
        </w:rPr>
        <w:t>被拔枪的情况出现；</w:t>
      </w:r>
    </w:p>
    <w:p>
      <w:pPr>
        <w:tabs>
          <w:tab w:val="left" w:pos="525"/>
          <w:tab w:val="left" w:pos="1140"/>
        </w:tabs>
        <w:adjustRightInd w:val="0"/>
        <w:snapToGrid w:val="0"/>
        <w:spacing w:line="360" w:lineRule="auto"/>
        <w:rPr>
          <w:rFonts w:ascii="宋体" w:hAnsi="宋体"/>
          <w:b/>
          <w:szCs w:val="21"/>
        </w:rPr>
      </w:pPr>
      <w:r>
        <w:rPr>
          <w:rFonts w:hint="eastAsia" w:ascii="宋体" w:hAnsi="宋体"/>
          <w:b/>
          <w:szCs w:val="21"/>
        </w:rPr>
        <w:t>★（7）自主运营管理平台</w:t>
      </w:r>
    </w:p>
    <w:p>
      <w:pPr>
        <w:overflowPunct w:val="0"/>
        <w:topLinePunct/>
        <w:adjustRightInd w:val="0"/>
        <w:snapToGrid w:val="0"/>
        <w:spacing w:line="360" w:lineRule="auto"/>
        <w:ind w:firstLine="422" w:firstLineChars="200"/>
        <w:rPr>
          <w:rFonts w:ascii="宋体" w:hAnsi="宋体"/>
          <w:b/>
          <w:color w:val="auto"/>
          <w:szCs w:val="21"/>
        </w:rPr>
      </w:pPr>
      <w:r>
        <w:rPr>
          <w:rFonts w:hint="eastAsia" w:ascii="宋体" w:hAnsi="宋体"/>
          <w:b/>
          <w:color w:val="auto"/>
          <w:szCs w:val="21"/>
        </w:rPr>
        <w:t>投标人或设备制造商应需具有自主的充电桩运营管理平台，且招标人有权要求投标人将运营管理平台无偿互联互通接入招标人自有云平台。（提供运营管理系统著作权登记证书）</w:t>
      </w:r>
    </w:p>
    <w:bookmarkEnd w:id="527"/>
    <w:bookmarkEnd w:id="528"/>
    <w:bookmarkEnd w:id="529"/>
    <w:bookmarkEnd w:id="530"/>
    <w:bookmarkEnd w:id="531"/>
    <w:bookmarkEnd w:id="532"/>
    <w:bookmarkEnd w:id="533"/>
    <w:bookmarkEnd w:id="534"/>
    <w:bookmarkEnd w:id="535"/>
    <w:bookmarkEnd w:id="536"/>
    <w:p>
      <w:pPr>
        <w:keepNext/>
        <w:keepLines/>
        <w:spacing w:before="20" w:after="20" w:line="415" w:lineRule="auto"/>
        <w:ind w:firstLine="102" w:firstLineChars="49"/>
        <w:outlineLvl w:val="2"/>
        <w:rPr>
          <w:rFonts w:ascii="宋体" w:hAnsi="宋体"/>
          <w:szCs w:val="21"/>
        </w:rPr>
      </w:pPr>
      <w:r>
        <w:rPr>
          <w:rFonts w:hint="eastAsia" w:ascii="宋体" w:hAnsi="宋体"/>
          <w:szCs w:val="21"/>
        </w:rPr>
        <w:t>1.3性能要求</w:t>
      </w:r>
    </w:p>
    <w:p>
      <w:pPr>
        <w:tabs>
          <w:tab w:val="left" w:pos="525"/>
          <w:tab w:val="left" w:pos="1140"/>
        </w:tabs>
        <w:adjustRightInd w:val="0"/>
        <w:snapToGrid w:val="0"/>
        <w:spacing w:line="360" w:lineRule="auto"/>
        <w:rPr>
          <w:rFonts w:ascii="宋体" w:hAnsi="宋体"/>
          <w:b/>
          <w:szCs w:val="21"/>
        </w:rPr>
      </w:pPr>
      <w:r>
        <w:rPr>
          <w:rFonts w:hint="eastAsia" w:ascii="宋体" w:hAnsi="宋体"/>
          <w:b/>
          <w:szCs w:val="21"/>
        </w:rPr>
        <w:t>（1）环境防护要求</w:t>
      </w:r>
    </w:p>
    <w:p>
      <w:pPr>
        <w:overflowPunct w:val="0"/>
        <w:topLinePunct/>
        <w:adjustRightInd w:val="0"/>
        <w:snapToGrid w:val="0"/>
        <w:spacing w:line="360" w:lineRule="auto"/>
        <w:ind w:firstLine="420" w:firstLineChars="200"/>
        <w:rPr>
          <w:rFonts w:ascii="宋体" w:hAnsi="宋体"/>
          <w:szCs w:val="21"/>
        </w:rPr>
      </w:pPr>
      <w:r>
        <w:rPr>
          <w:rFonts w:hint="eastAsia" w:ascii="宋体" w:hAnsi="宋体"/>
          <w:szCs w:val="21"/>
        </w:rPr>
        <w:t>IP防护等级：充电桩外壳防护等级不应低于IP32（室内）IP54（室外）的规定。</w:t>
      </w:r>
    </w:p>
    <w:p>
      <w:pPr>
        <w:overflowPunct w:val="0"/>
        <w:topLinePunct/>
        <w:adjustRightInd w:val="0"/>
        <w:snapToGrid w:val="0"/>
        <w:spacing w:line="360" w:lineRule="auto"/>
        <w:ind w:firstLine="420" w:firstLineChars="200"/>
        <w:rPr>
          <w:rFonts w:ascii="宋体" w:hAnsi="宋体"/>
          <w:szCs w:val="21"/>
        </w:rPr>
      </w:pPr>
      <w:bookmarkStart w:id="541" w:name="_Toc179863361"/>
      <w:r>
        <w:rPr>
          <w:rFonts w:hint="eastAsia" w:ascii="宋体" w:hAnsi="宋体"/>
          <w:szCs w:val="21"/>
        </w:rPr>
        <w:t>三防</w:t>
      </w:r>
      <w:r>
        <w:rPr>
          <w:rFonts w:ascii="宋体" w:hAnsi="宋体"/>
          <w:szCs w:val="21"/>
        </w:rPr>
        <w:t>(</w:t>
      </w:r>
      <w:r>
        <w:rPr>
          <w:rFonts w:hint="eastAsia" w:ascii="宋体" w:hAnsi="宋体"/>
          <w:szCs w:val="21"/>
        </w:rPr>
        <w:t>防潮湿，防霉变，防盐雾</w:t>
      </w:r>
      <w:r>
        <w:rPr>
          <w:rFonts w:ascii="宋体" w:hAnsi="宋体"/>
          <w:szCs w:val="21"/>
        </w:rPr>
        <w:t>)</w:t>
      </w:r>
      <w:r>
        <w:rPr>
          <w:rFonts w:hint="eastAsia" w:ascii="宋体" w:hAnsi="宋体"/>
          <w:szCs w:val="21"/>
        </w:rPr>
        <w:t>保护</w:t>
      </w:r>
      <w:bookmarkEnd w:id="541"/>
      <w:r>
        <w:rPr>
          <w:rFonts w:hint="eastAsia" w:ascii="宋体" w:hAnsi="宋体"/>
          <w:szCs w:val="21"/>
        </w:rPr>
        <w:t>：充电桩内印刷线路板、接插件等电路应具有防潮湿、防霉变、防盐雾处理，保证充电桩在潮湿、盐雾环境下正常运行。</w:t>
      </w:r>
    </w:p>
    <w:p>
      <w:pPr>
        <w:overflowPunct w:val="0"/>
        <w:topLinePunct/>
        <w:adjustRightInd w:val="0"/>
        <w:snapToGrid w:val="0"/>
        <w:spacing w:line="360" w:lineRule="auto"/>
        <w:ind w:firstLine="420" w:firstLineChars="200"/>
        <w:rPr>
          <w:rFonts w:ascii="宋体" w:hAnsi="宋体"/>
          <w:szCs w:val="21"/>
        </w:rPr>
      </w:pPr>
      <w:r>
        <w:rPr>
          <w:rFonts w:hint="eastAsia" w:ascii="宋体" w:hAnsi="宋体"/>
          <w:szCs w:val="21"/>
        </w:rPr>
        <w:t>防锈</w:t>
      </w:r>
      <w:r>
        <w:rPr>
          <w:rFonts w:ascii="宋体" w:hAnsi="宋体"/>
          <w:szCs w:val="21"/>
        </w:rPr>
        <w:t>(</w:t>
      </w:r>
      <w:r>
        <w:rPr>
          <w:rFonts w:hint="eastAsia" w:ascii="宋体" w:hAnsi="宋体"/>
          <w:szCs w:val="21"/>
        </w:rPr>
        <w:t>防氧化</w:t>
      </w:r>
      <w:r>
        <w:rPr>
          <w:rFonts w:ascii="宋体" w:hAnsi="宋体"/>
          <w:szCs w:val="21"/>
        </w:rPr>
        <w:t>)</w:t>
      </w:r>
      <w:r>
        <w:rPr>
          <w:rFonts w:hint="eastAsia" w:ascii="宋体" w:hAnsi="宋体"/>
          <w:szCs w:val="21"/>
        </w:rPr>
        <w:t>保护：充电桩铁质外壳和暴露的铁质支架、零件应采用双层防锈措施，非铁质的金属外壳也应具有防氧化保护膜或防氧化处理。</w:t>
      </w:r>
    </w:p>
    <w:p>
      <w:pPr>
        <w:tabs>
          <w:tab w:val="left" w:pos="525"/>
          <w:tab w:val="left" w:pos="1140"/>
        </w:tabs>
        <w:adjustRightInd w:val="0"/>
        <w:snapToGrid w:val="0"/>
        <w:spacing w:line="360" w:lineRule="auto"/>
        <w:rPr>
          <w:rFonts w:ascii="宋体" w:hAnsi="宋体"/>
          <w:b/>
          <w:szCs w:val="21"/>
        </w:rPr>
      </w:pPr>
      <w:r>
        <w:rPr>
          <w:rFonts w:hint="eastAsia" w:ascii="宋体" w:hAnsi="宋体"/>
          <w:b/>
          <w:szCs w:val="21"/>
        </w:rPr>
        <w:t>（2）电击防护要求</w:t>
      </w:r>
    </w:p>
    <w:p>
      <w:pPr>
        <w:overflowPunct w:val="0"/>
        <w:topLinePunct/>
        <w:adjustRightInd w:val="0"/>
        <w:snapToGrid w:val="0"/>
        <w:spacing w:line="360" w:lineRule="auto"/>
        <w:ind w:firstLine="420" w:firstLineChars="200"/>
        <w:rPr>
          <w:rFonts w:ascii="宋体" w:hAnsi="宋体"/>
          <w:szCs w:val="21"/>
        </w:rPr>
      </w:pPr>
      <w:r>
        <w:rPr>
          <w:rFonts w:ascii="宋体" w:hAnsi="宋体"/>
          <w:szCs w:val="21"/>
        </w:rPr>
        <w:t>充电桩的电击防护要求应符合GB/T 18487.1-2001中第9章的要求</w:t>
      </w:r>
      <w:r>
        <w:rPr>
          <w:rFonts w:hint="eastAsia" w:ascii="宋体" w:hAnsi="宋体"/>
          <w:szCs w:val="21"/>
        </w:rPr>
        <w:t>。</w:t>
      </w:r>
    </w:p>
    <w:p>
      <w:pPr>
        <w:tabs>
          <w:tab w:val="left" w:pos="525"/>
          <w:tab w:val="left" w:pos="1140"/>
        </w:tabs>
        <w:adjustRightInd w:val="0"/>
        <w:snapToGrid w:val="0"/>
        <w:spacing w:line="360" w:lineRule="auto"/>
        <w:rPr>
          <w:rFonts w:ascii="宋体" w:hAnsi="宋体"/>
          <w:b/>
          <w:szCs w:val="21"/>
        </w:rPr>
      </w:pPr>
      <w:r>
        <w:rPr>
          <w:rFonts w:hint="eastAsia" w:ascii="宋体" w:hAnsi="宋体"/>
          <w:b/>
          <w:szCs w:val="21"/>
        </w:rPr>
        <w:t>（3）电气间隙和爬电距离</w:t>
      </w:r>
    </w:p>
    <w:p>
      <w:pPr>
        <w:overflowPunct w:val="0"/>
        <w:topLinePunct/>
        <w:adjustRightInd w:val="0"/>
        <w:snapToGrid w:val="0"/>
        <w:spacing w:line="360" w:lineRule="auto"/>
        <w:ind w:firstLine="420" w:firstLineChars="200"/>
        <w:rPr>
          <w:rFonts w:ascii="宋体" w:hAnsi="宋体"/>
          <w:szCs w:val="21"/>
        </w:rPr>
      </w:pPr>
      <w:r>
        <w:rPr>
          <w:rFonts w:hint="eastAsia" w:ascii="宋体" w:hAnsi="宋体"/>
          <w:szCs w:val="21"/>
        </w:rPr>
        <w:t>充电桩的电气间隙和爬电距离应符合规定当电动汽车供电设备由制造商安装时，其电气间隙和爬电距离应至少满足GB/T 16935.1-2008规定的要求。</w:t>
      </w:r>
    </w:p>
    <w:p>
      <w:pPr>
        <w:tabs>
          <w:tab w:val="left" w:pos="525"/>
          <w:tab w:val="left" w:pos="1140"/>
        </w:tabs>
        <w:adjustRightInd w:val="0"/>
        <w:snapToGrid w:val="0"/>
        <w:spacing w:line="360" w:lineRule="auto"/>
        <w:rPr>
          <w:rFonts w:ascii="宋体" w:hAnsi="宋体"/>
          <w:b/>
          <w:szCs w:val="21"/>
        </w:rPr>
      </w:pPr>
      <w:r>
        <w:rPr>
          <w:rFonts w:hint="eastAsia" w:ascii="宋体" w:hAnsi="宋体"/>
          <w:b/>
          <w:szCs w:val="21"/>
        </w:rPr>
        <w:t>（4）绝缘性能要求</w:t>
      </w:r>
    </w:p>
    <w:p>
      <w:pPr>
        <w:overflowPunct w:val="0"/>
        <w:topLinePunct/>
        <w:adjustRightInd w:val="0"/>
        <w:snapToGrid w:val="0"/>
        <w:spacing w:line="360" w:lineRule="auto"/>
        <w:ind w:firstLine="420" w:firstLineChars="200"/>
        <w:rPr>
          <w:rFonts w:ascii="宋体" w:hAnsi="宋体"/>
          <w:szCs w:val="21"/>
        </w:rPr>
      </w:pPr>
      <w:r>
        <w:rPr>
          <w:rFonts w:hint="eastAsia" w:ascii="宋体" w:hAnsi="宋体"/>
          <w:szCs w:val="21"/>
        </w:rPr>
        <w:t>绝缘电阻：用开路电压为表3规定电压的测试仪器测量，充电桩非电气连接的各带电回路之间、各独立带电回路与地（金属外壳）之间绝缘电阻应大于等于10</w:t>
      </w:r>
      <w:r>
        <w:rPr>
          <w:rFonts w:ascii="宋体" w:hAnsi="宋体"/>
          <w:szCs w:val="21"/>
        </w:rPr>
        <w:t>MΩ</w:t>
      </w:r>
      <w:r>
        <w:rPr>
          <w:rFonts w:hint="eastAsia" w:ascii="宋体" w:hAnsi="宋体"/>
          <w:szCs w:val="21"/>
        </w:rPr>
        <w:t>。</w:t>
      </w:r>
    </w:p>
    <w:p>
      <w:pPr>
        <w:overflowPunct w:val="0"/>
        <w:topLinePunct/>
        <w:adjustRightInd w:val="0"/>
        <w:snapToGrid w:val="0"/>
        <w:spacing w:line="360" w:lineRule="auto"/>
        <w:ind w:firstLine="420" w:firstLineChars="200"/>
        <w:rPr>
          <w:rFonts w:ascii="宋体" w:hAnsi="宋体"/>
          <w:szCs w:val="21"/>
        </w:rPr>
      </w:pPr>
      <w:r>
        <w:rPr>
          <w:rFonts w:hint="eastAsia" w:ascii="宋体" w:hAnsi="宋体"/>
          <w:szCs w:val="21"/>
        </w:rPr>
        <w:t>工频耐压：充电桩非电气连接的各带电回路之间、各独立带电回路与地（金属外壳）之间，按其工作电压应能承受表3所规定历时</w:t>
      </w:r>
      <w:r>
        <w:rPr>
          <w:rFonts w:ascii="宋体" w:hAnsi="宋体"/>
          <w:szCs w:val="21"/>
        </w:rPr>
        <w:t>1</w:t>
      </w:r>
      <w:r>
        <w:rPr>
          <w:rFonts w:hint="eastAsia" w:ascii="宋体" w:hAnsi="宋体"/>
          <w:szCs w:val="21"/>
        </w:rPr>
        <w:t xml:space="preserve"> </w:t>
      </w:r>
      <w:r>
        <w:rPr>
          <w:rFonts w:ascii="宋体" w:hAnsi="宋体"/>
          <w:szCs w:val="21"/>
        </w:rPr>
        <w:t>min</w:t>
      </w:r>
      <w:r>
        <w:rPr>
          <w:rFonts w:hint="eastAsia" w:ascii="宋体" w:hAnsi="宋体"/>
          <w:szCs w:val="21"/>
        </w:rPr>
        <w:t>的工频耐压试验（也可采用直流电压，试验电压为交流电压有效值的1.4倍）。试验过程中应无绝缘击穿和闪络现象。</w:t>
      </w:r>
    </w:p>
    <w:p>
      <w:pPr>
        <w:overflowPunct w:val="0"/>
        <w:topLinePunct/>
        <w:adjustRightInd w:val="0"/>
        <w:snapToGrid w:val="0"/>
        <w:spacing w:line="360" w:lineRule="auto"/>
        <w:ind w:firstLine="420" w:firstLineChars="200"/>
        <w:rPr>
          <w:rFonts w:ascii="宋体" w:hAnsi="宋体"/>
          <w:szCs w:val="21"/>
        </w:rPr>
      </w:pPr>
      <w:r>
        <w:rPr>
          <w:rFonts w:hint="eastAsia" w:ascii="宋体" w:hAnsi="宋体"/>
          <w:szCs w:val="21"/>
        </w:rPr>
        <w:t>冲击电压：充电桩各带电回路、各带电电路对地（金属外壳）之间，按其工作电压应能承受表3所规定标准雷电波的短时冲击电压试验。试验过程中应无击穿放电。</w:t>
      </w:r>
    </w:p>
    <w:p>
      <w:pPr>
        <w:widowControl/>
        <w:spacing w:line="276" w:lineRule="auto"/>
        <w:jc w:val="center"/>
        <w:rPr>
          <w:rFonts w:ascii="宋体" w:hAnsi="宋体"/>
          <w:kern w:val="0"/>
          <w:szCs w:val="21"/>
        </w:rPr>
      </w:pPr>
      <w:r>
        <w:rPr>
          <w:rFonts w:hint="eastAsia" w:ascii="宋体" w:hAnsi="宋体"/>
          <w:kern w:val="0"/>
          <w:szCs w:val="21"/>
        </w:rPr>
        <w:t>表3  绝缘试验的试验等级</w:t>
      </w:r>
    </w:p>
    <w:tbl>
      <w:tblPr>
        <w:tblStyle w:val="50"/>
        <w:tblW w:w="90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900"/>
        <w:gridCol w:w="2983"/>
        <w:gridCol w:w="2155"/>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900"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额定绝缘电压U</w:t>
            </w:r>
            <w:r>
              <w:rPr>
                <w:rFonts w:hint="eastAsia" w:ascii="宋体" w:hAnsi="宋体"/>
                <w:kern w:val="0"/>
                <w:szCs w:val="21"/>
              </w:rPr>
              <w:t>i</w:t>
            </w:r>
          </w:p>
          <w:p>
            <w:pPr>
              <w:autoSpaceDE w:val="0"/>
              <w:autoSpaceDN w:val="0"/>
              <w:adjustRightInd w:val="0"/>
              <w:snapToGrid w:val="0"/>
              <w:jc w:val="center"/>
              <w:rPr>
                <w:rFonts w:ascii="宋体" w:hAnsi="宋体"/>
                <w:kern w:val="0"/>
                <w:szCs w:val="21"/>
              </w:rPr>
            </w:pPr>
            <w:r>
              <w:rPr>
                <w:rFonts w:hint="eastAsia" w:ascii="宋体" w:hAnsi="宋体"/>
                <w:kern w:val="0"/>
                <w:szCs w:val="21"/>
              </w:rPr>
              <w:t>（</w:t>
            </w:r>
            <w:r>
              <w:rPr>
                <w:rFonts w:ascii="宋体" w:hAnsi="宋体"/>
                <w:kern w:val="0"/>
                <w:szCs w:val="21"/>
              </w:rPr>
              <w:t>V</w:t>
            </w:r>
            <w:r>
              <w:rPr>
                <w:rFonts w:hint="eastAsia" w:ascii="宋体" w:hAnsi="宋体"/>
                <w:kern w:val="0"/>
                <w:szCs w:val="21"/>
              </w:rPr>
              <w:t>）</w:t>
            </w:r>
          </w:p>
        </w:tc>
        <w:tc>
          <w:tcPr>
            <w:tcW w:w="2983"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绝缘电阻测试仪器的电压等级</w:t>
            </w:r>
          </w:p>
          <w:p>
            <w:pPr>
              <w:autoSpaceDE w:val="0"/>
              <w:autoSpaceDN w:val="0"/>
              <w:adjustRightInd w:val="0"/>
              <w:snapToGrid w:val="0"/>
              <w:jc w:val="center"/>
              <w:rPr>
                <w:rFonts w:ascii="宋体" w:hAnsi="宋体"/>
                <w:kern w:val="0"/>
                <w:szCs w:val="21"/>
              </w:rPr>
            </w:pPr>
            <w:r>
              <w:rPr>
                <w:rFonts w:hint="eastAsia" w:ascii="宋体" w:hAnsi="宋体"/>
                <w:kern w:val="0"/>
                <w:szCs w:val="21"/>
              </w:rPr>
              <w:t>（V）</w:t>
            </w:r>
          </w:p>
        </w:tc>
        <w:tc>
          <w:tcPr>
            <w:tcW w:w="2155"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工频</w:t>
            </w:r>
            <w:r>
              <w:rPr>
                <w:rFonts w:hint="eastAsia" w:ascii="宋体" w:hAnsi="宋体"/>
                <w:kern w:val="0"/>
                <w:szCs w:val="21"/>
              </w:rPr>
              <w:t>耐压试验</w:t>
            </w:r>
            <w:r>
              <w:rPr>
                <w:rFonts w:ascii="宋体" w:hAnsi="宋体"/>
                <w:kern w:val="0"/>
                <w:szCs w:val="21"/>
              </w:rPr>
              <w:t>电压</w:t>
            </w:r>
          </w:p>
          <w:p>
            <w:pPr>
              <w:autoSpaceDE w:val="0"/>
              <w:autoSpaceDN w:val="0"/>
              <w:adjustRightInd w:val="0"/>
              <w:snapToGrid w:val="0"/>
              <w:jc w:val="center"/>
              <w:rPr>
                <w:rFonts w:ascii="宋体" w:hAnsi="宋体"/>
                <w:kern w:val="0"/>
                <w:szCs w:val="21"/>
              </w:rPr>
            </w:pPr>
            <w:r>
              <w:rPr>
                <w:rFonts w:hint="eastAsia" w:ascii="宋体" w:hAnsi="宋体"/>
                <w:kern w:val="0"/>
                <w:szCs w:val="21"/>
              </w:rPr>
              <w:t>（k</w:t>
            </w:r>
            <w:r>
              <w:rPr>
                <w:rFonts w:ascii="宋体" w:hAnsi="宋体"/>
                <w:kern w:val="0"/>
                <w:szCs w:val="21"/>
              </w:rPr>
              <w:t>V</w:t>
            </w:r>
            <w:r>
              <w:rPr>
                <w:rFonts w:hint="eastAsia" w:ascii="宋体" w:hAnsi="宋体"/>
                <w:kern w:val="0"/>
                <w:szCs w:val="21"/>
              </w:rPr>
              <w:t>）</w:t>
            </w:r>
          </w:p>
        </w:tc>
        <w:tc>
          <w:tcPr>
            <w:tcW w:w="1978"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冲击</w:t>
            </w:r>
            <w:r>
              <w:rPr>
                <w:rFonts w:hint="eastAsia" w:ascii="宋体" w:hAnsi="宋体"/>
                <w:kern w:val="0"/>
                <w:szCs w:val="21"/>
              </w:rPr>
              <w:t>耐压试验</w:t>
            </w:r>
            <w:r>
              <w:rPr>
                <w:rFonts w:ascii="宋体" w:hAnsi="宋体"/>
                <w:kern w:val="0"/>
                <w:szCs w:val="21"/>
              </w:rPr>
              <w:t>电压</w:t>
            </w:r>
          </w:p>
          <w:p>
            <w:pPr>
              <w:autoSpaceDE w:val="0"/>
              <w:autoSpaceDN w:val="0"/>
              <w:adjustRightInd w:val="0"/>
              <w:snapToGrid w:val="0"/>
              <w:jc w:val="center"/>
              <w:rPr>
                <w:rFonts w:ascii="宋体" w:hAnsi="宋体"/>
                <w:kern w:val="0"/>
                <w:szCs w:val="21"/>
              </w:rPr>
            </w:pPr>
            <w:r>
              <w:rPr>
                <w:rFonts w:hint="eastAsia" w:ascii="宋体" w:hAnsi="宋体"/>
                <w:kern w:val="0"/>
                <w:szCs w:val="21"/>
              </w:rPr>
              <w:t>（k</w:t>
            </w:r>
            <w:r>
              <w:rPr>
                <w:rFonts w:ascii="宋体" w:hAnsi="宋体"/>
                <w:kern w:val="0"/>
                <w:szCs w:val="21"/>
              </w:rPr>
              <w:t>V</w:t>
            </w:r>
            <w:r>
              <w:rPr>
                <w:rFonts w:hint="eastAsia"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900" w:type="dxa"/>
            <w:vAlign w:val="center"/>
          </w:tcPr>
          <w:p>
            <w:pPr>
              <w:adjustRightInd w:val="0"/>
              <w:snapToGrid w:val="0"/>
              <w:jc w:val="center"/>
              <w:rPr>
                <w:rFonts w:ascii="宋体" w:hAnsi="宋体"/>
                <w:szCs w:val="21"/>
              </w:rPr>
            </w:pPr>
            <w:r>
              <w:rPr>
                <w:rFonts w:ascii="宋体" w:hAnsi="宋体"/>
                <w:szCs w:val="21"/>
              </w:rPr>
              <w:t>≤6</w:t>
            </w:r>
            <w:r>
              <w:rPr>
                <w:rFonts w:hint="eastAsia" w:ascii="宋体" w:hAnsi="宋体"/>
                <w:szCs w:val="21"/>
              </w:rPr>
              <w:t>0</w:t>
            </w:r>
          </w:p>
        </w:tc>
        <w:tc>
          <w:tcPr>
            <w:tcW w:w="2983" w:type="dxa"/>
            <w:vAlign w:val="center"/>
          </w:tcPr>
          <w:p>
            <w:pPr>
              <w:adjustRightInd w:val="0"/>
              <w:snapToGrid w:val="0"/>
              <w:jc w:val="center"/>
              <w:rPr>
                <w:rFonts w:ascii="宋体" w:hAnsi="宋体"/>
                <w:szCs w:val="21"/>
              </w:rPr>
            </w:pPr>
            <w:r>
              <w:rPr>
                <w:rFonts w:hint="eastAsia" w:ascii="宋体" w:hAnsi="宋体"/>
                <w:szCs w:val="21"/>
              </w:rPr>
              <w:t>250</w:t>
            </w:r>
          </w:p>
        </w:tc>
        <w:tc>
          <w:tcPr>
            <w:tcW w:w="2155" w:type="dxa"/>
            <w:vAlign w:val="center"/>
          </w:tcPr>
          <w:p>
            <w:pPr>
              <w:adjustRightInd w:val="0"/>
              <w:snapToGrid w:val="0"/>
              <w:jc w:val="center"/>
              <w:rPr>
                <w:rFonts w:ascii="宋体" w:hAnsi="宋体"/>
                <w:szCs w:val="21"/>
              </w:rPr>
            </w:pPr>
            <w:r>
              <w:rPr>
                <w:rFonts w:ascii="宋体" w:hAnsi="宋体"/>
                <w:szCs w:val="21"/>
              </w:rPr>
              <w:t>1.0</w:t>
            </w:r>
            <w:r>
              <w:rPr>
                <w:rFonts w:hint="eastAsia" w:ascii="宋体" w:hAnsi="宋体"/>
                <w:szCs w:val="21"/>
              </w:rPr>
              <w:t>（1.4）</w:t>
            </w:r>
          </w:p>
        </w:tc>
        <w:tc>
          <w:tcPr>
            <w:tcW w:w="1978" w:type="dxa"/>
            <w:vAlign w:val="center"/>
          </w:tcPr>
          <w:p>
            <w:pPr>
              <w:adjustRightInd w:val="0"/>
              <w:snapToGrid w:val="0"/>
              <w:jc w:val="center"/>
              <w:rPr>
                <w:rFonts w:ascii="宋体" w:hAnsi="宋体"/>
                <w:szCs w:val="21"/>
              </w:rPr>
            </w:pP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900" w:type="dxa"/>
            <w:vAlign w:val="center"/>
          </w:tcPr>
          <w:p>
            <w:pPr>
              <w:adjustRightInd w:val="0"/>
              <w:snapToGrid w:val="0"/>
              <w:jc w:val="center"/>
              <w:rPr>
                <w:rFonts w:ascii="宋体" w:hAnsi="宋体"/>
                <w:szCs w:val="21"/>
              </w:rPr>
            </w:pPr>
            <w:r>
              <w:rPr>
                <w:rFonts w:ascii="宋体" w:hAnsi="宋体"/>
                <w:szCs w:val="21"/>
              </w:rPr>
              <w:t>6</w:t>
            </w:r>
            <w:r>
              <w:rPr>
                <w:rFonts w:hint="eastAsia" w:ascii="宋体" w:hAnsi="宋体"/>
                <w:szCs w:val="21"/>
              </w:rPr>
              <w:t>0</w:t>
            </w:r>
            <w:r>
              <w:rPr>
                <w:rFonts w:ascii="宋体" w:hAnsi="宋体"/>
                <w:szCs w:val="21"/>
              </w:rPr>
              <w:t>＜U</w:t>
            </w:r>
            <w:r>
              <w:rPr>
                <w:rFonts w:hint="eastAsia" w:ascii="宋体" w:hAnsi="宋体"/>
                <w:szCs w:val="21"/>
              </w:rPr>
              <w:t>i</w:t>
            </w:r>
            <w:r>
              <w:rPr>
                <w:rFonts w:ascii="宋体" w:hAnsi="宋体"/>
                <w:szCs w:val="21"/>
              </w:rPr>
              <w:t>≤</w:t>
            </w:r>
            <w:r>
              <w:rPr>
                <w:rFonts w:hint="eastAsia" w:ascii="宋体" w:hAnsi="宋体"/>
                <w:szCs w:val="21"/>
              </w:rPr>
              <w:t>300</w:t>
            </w:r>
          </w:p>
        </w:tc>
        <w:tc>
          <w:tcPr>
            <w:tcW w:w="2983" w:type="dxa"/>
            <w:vAlign w:val="center"/>
          </w:tcPr>
          <w:p>
            <w:pPr>
              <w:adjustRightInd w:val="0"/>
              <w:snapToGrid w:val="0"/>
              <w:jc w:val="center"/>
              <w:rPr>
                <w:rFonts w:ascii="宋体" w:hAnsi="宋体"/>
                <w:szCs w:val="21"/>
              </w:rPr>
            </w:pPr>
            <w:r>
              <w:rPr>
                <w:rFonts w:hint="eastAsia" w:ascii="宋体" w:hAnsi="宋体"/>
                <w:szCs w:val="21"/>
              </w:rPr>
              <w:t>500</w:t>
            </w:r>
          </w:p>
        </w:tc>
        <w:tc>
          <w:tcPr>
            <w:tcW w:w="2155" w:type="dxa"/>
            <w:vAlign w:val="center"/>
          </w:tcPr>
          <w:p>
            <w:pPr>
              <w:adjustRightInd w:val="0"/>
              <w:snapToGrid w:val="0"/>
              <w:jc w:val="center"/>
              <w:rPr>
                <w:rFonts w:ascii="宋体" w:hAnsi="宋体"/>
                <w:szCs w:val="21"/>
              </w:rPr>
            </w:pPr>
            <w:r>
              <w:rPr>
                <w:rFonts w:ascii="宋体" w:hAnsi="宋体"/>
                <w:szCs w:val="21"/>
              </w:rPr>
              <w:t>2.0</w:t>
            </w:r>
            <w:r>
              <w:rPr>
                <w:rFonts w:hint="eastAsia" w:ascii="宋体" w:hAnsi="宋体"/>
                <w:szCs w:val="21"/>
              </w:rPr>
              <w:t>（2.8）</w:t>
            </w:r>
          </w:p>
        </w:tc>
        <w:tc>
          <w:tcPr>
            <w:tcW w:w="1978" w:type="dxa"/>
            <w:vAlign w:val="center"/>
          </w:tcPr>
          <w:p>
            <w:pPr>
              <w:adjustRightInd w:val="0"/>
              <w:snapToGrid w:val="0"/>
              <w:jc w:val="center"/>
              <w:rPr>
                <w:rFonts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900" w:type="dxa"/>
            <w:vAlign w:val="center"/>
          </w:tcPr>
          <w:p>
            <w:pPr>
              <w:adjustRightInd w:val="0"/>
              <w:snapToGrid w:val="0"/>
              <w:jc w:val="center"/>
              <w:rPr>
                <w:rFonts w:ascii="宋体" w:hAnsi="宋体"/>
                <w:szCs w:val="21"/>
              </w:rPr>
            </w:pPr>
            <w:r>
              <w:rPr>
                <w:rFonts w:hint="eastAsia" w:ascii="宋体" w:hAnsi="宋体"/>
                <w:szCs w:val="21"/>
              </w:rPr>
              <w:t>300</w:t>
            </w:r>
            <w:r>
              <w:rPr>
                <w:rFonts w:ascii="宋体" w:hAnsi="宋体"/>
                <w:szCs w:val="21"/>
              </w:rPr>
              <w:t>＜U</w:t>
            </w:r>
            <w:r>
              <w:rPr>
                <w:rFonts w:hint="eastAsia" w:ascii="宋体" w:hAnsi="宋体"/>
                <w:szCs w:val="21"/>
              </w:rPr>
              <w:t>i</w:t>
            </w:r>
            <w:r>
              <w:rPr>
                <w:rFonts w:ascii="宋体" w:hAnsi="宋体"/>
                <w:szCs w:val="21"/>
              </w:rPr>
              <w:t>≤</w:t>
            </w:r>
            <w:r>
              <w:rPr>
                <w:rFonts w:hint="eastAsia" w:ascii="宋体" w:hAnsi="宋体"/>
                <w:szCs w:val="21"/>
              </w:rPr>
              <w:t>700</w:t>
            </w:r>
          </w:p>
        </w:tc>
        <w:tc>
          <w:tcPr>
            <w:tcW w:w="2983" w:type="dxa"/>
            <w:vAlign w:val="center"/>
          </w:tcPr>
          <w:p>
            <w:pPr>
              <w:adjustRightInd w:val="0"/>
              <w:snapToGrid w:val="0"/>
              <w:jc w:val="center"/>
              <w:rPr>
                <w:rFonts w:ascii="宋体" w:hAnsi="宋体"/>
                <w:szCs w:val="21"/>
              </w:rPr>
            </w:pPr>
            <w:r>
              <w:rPr>
                <w:rFonts w:hint="eastAsia" w:ascii="宋体" w:hAnsi="宋体"/>
                <w:szCs w:val="21"/>
              </w:rPr>
              <w:t>1000</w:t>
            </w:r>
          </w:p>
        </w:tc>
        <w:tc>
          <w:tcPr>
            <w:tcW w:w="2155" w:type="dxa"/>
            <w:vAlign w:val="center"/>
          </w:tcPr>
          <w:p>
            <w:pPr>
              <w:adjustRightInd w:val="0"/>
              <w:snapToGrid w:val="0"/>
              <w:jc w:val="center"/>
              <w:rPr>
                <w:rFonts w:ascii="宋体" w:hAnsi="宋体"/>
                <w:szCs w:val="21"/>
              </w:rPr>
            </w:pPr>
            <w:r>
              <w:rPr>
                <w:rFonts w:ascii="宋体" w:hAnsi="宋体"/>
                <w:szCs w:val="21"/>
              </w:rPr>
              <w:t>2.5</w:t>
            </w:r>
            <w:r>
              <w:rPr>
                <w:rFonts w:hint="eastAsia" w:ascii="宋体" w:hAnsi="宋体"/>
                <w:szCs w:val="21"/>
              </w:rPr>
              <w:t>（3.5）</w:t>
            </w:r>
          </w:p>
        </w:tc>
        <w:tc>
          <w:tcPr>
            <w:tcW w:w="1978" w:type="dxa"/>
            <w:vAlign w:val="center"/>
          </w:tcPr>
          <w:p>
            <w:pPr>
              <w:adjustRightInd w:val="0"/>
              <w:snapToGrid w:val="0"/>
              <w:jc w:val="center"/>
              <w:rPr>
                <w:rFonts w:ascii="宋体" w:hAnsi="宋体"/>
                <w:szCs w:val="21"/>
              </w:rPr>
            </w:pPr>
            <w:r>
              <w:rPr>
                <w:rFonts w:ascii="宋体" w:hAnsi="宋体"/>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016" w:type="dxa"/>
            <w:gridSpan w:val="4"/>
            <w:vAlign w:val="center"/>
          </w:tcPr>
          <w:p>
            <w:pPr>
              <w:adjustRightInd w:val="0"/>
              <w:snapToGrid w:val="0"/>
              <w:rPr>
                <w:rFonts w:ascii="宋体" w:hAnsi="宋体"/>
                <w:szCs w:val="21"/>
              </w:rPr>
            </w:pPr>
            <w:r>
              <w:rPr>
                <w:rFonts w:hint="eastAsia" w:ascii="宋体" w:hAnsi="宋体"/>
                <w:szCs w:val="21"/>
              </w:rPr>
              <w:t>注：括号内数据为直流介质强度试验值。</w:t>
            </w:r>
          </w:p>
        </w:tc>
      </w:tr>
    </w:tbl>
    <w:p>
      <w:pPr>
        <w:tabs>
          <w:tab w:val="left" w:pos="525"/>
          <w:tab w:val="left" w:pos="1140"/>
        </w:tabs>
        <w:adjustRightInd w:val="0"/>
        <w:snapToGrid w:val="0"/>
        <w:spacing w:line="360" w:lineRule="auto"/>
        <w:rPr>
          <w:rFonts w:ascii="宋体" w:hAnsi="宋体"/>
          <w:b/>
          <w:szCs w:val="21"/>
        </w:rPr>
      </w:pPr>
      <w:r>
        <w:rPr>
          <w:rFonts w:hint="eastAsia" w:ascii="宋体" w:hAnsi="宋体"/>
          <w:b/>
          <w:szCs w:val="21"/>
        </w:rPr>
        <w:t>（5）机械强度</w:t>
      </w:r>
    </w:p>
    <w:p>
      <w:pPr>
        <w:overflowPunct w:val="0"/>
        <w:topLinePunct/>
        <w:adjustRightInd w:val="0"/>
        <w:snapToGrid w:val="0"/>
        <w:spacing w:line="360" w:lineRule="auto"/>
        <w:ind w:firstLine="420" w:firstLineChars="200"/>
        <w:rPr>
          <w:rFonts w:ascii="宋体" w:hAnsi="宋体"/>
          <w:szCs w:val="21"/>
        </w:rPr>
      </w:pPr>
      <w:r>
        <w:rPr>
          <w:rFonts w:hint="eastAsia" w:ascii="宋体" w:hAnsi="宋体"/>
          <w:szCs w:val="21"/>
        </w:rPr>
        <w:t>按</w:t>
      </w:r>
      <w:r>
        <w:rPr>
          <w:rFonts w:ascii="宋体" w:hAnsi="宋体"/>
          <w:szCs w:val="21"/>
        </w:rPr>
        <w:t>GB/T 2423.55</w:t>
      </w:r>
      <w:r>
        <w:rPr>
          <w:rFonts w:hint="eastAsia" w:ascii="宋体" w:hAnsi="宋体"/>
          <w:szCs w:val="21"/>
        </w:rPr>
        <w:t>-2006规定的方法用弹簧锤进行机械强度试验，撞击能量为0.7J。试验结束后，检查充电桩壳体没有损坏或损坏时不触及带电部件及影响交流充电桩的使用，操作机构没有损坏，绝缘材料的敷层和护套没有损坏。</w:t>
      </w:r>
    </w:p>
    <w:p>
      <w:pPr>
        <w:tabs>
          <w:tab w:val="left" w:pos="525"/>
          <w:tab w:val="left" w:pos="1140"/>
        </w:tabs>
        <w:adjustRightInd w:val="0"/>
        <w:snapToGrid w:val="0"/>
        <w:spacing w:line="360" w:lineRule="auto"/>
        <w:rPr>
          <w:rFonts w:ascii="宋体" w:hAnsi="宋体"/>
          <w:b/>
          <w:szCs w:val="21"/>
        </w:rPr>
      </w:pPr>
      <w:r>
        <w:rPr>
          <w:rFonts w:hint="eastAsia" w:ascii="宋体" w:hAnsi="宋体"/>
          <w:b/>
          <w:szCs w:val="21"/>
        </w:rPr>
        <w:t>（6）电磁兼容</w:t>
      </w:r>
    </w:p>
    <w:p>
      <w:pPr>
        <w:overflowPunct w:val="0"/>
        <w:topLinePunct/>
        <w:adjustRightInd w:val="0"/>
        <w:snapToGrid w:val="0"/>
        <w:spacing w:line="360" w:lineRule="auto"/>
        <w:ind w:firstLine="420" w:firstLineChars="200"/>
        <w:rPr>
          <w:rFonts w:ascii="宋体" w:hAnsi="宋体"/>
          <w:szCs w:val="21"/>
        </w:rPr>
      </w:pPr>
      <w:bookmarkStart w:id="542" w:name="_Toc274433923"/>
      <w:r>
        <w:rPr>
          <w:rFonts w:hint="eastAsia" w:ascii="宋体" w:hAnsi="宋体"/>
          <w:szCs w:val="21"/>
        </w:rPr>
        <w:t>静电放电抗扰度</w:t>
      </w:r>
      <w:bookmarkEnd w:id="542"/>
      <w:r>
        <w:rPr>
          <w:rFonts w:hint="eastAsia" w:ascii="宋体" w:hAnsi="宋体"/>
          <w:szCs w:val="21"/>
        </w:rPr>
        <w:t>：</w:t>
      </w:r>
      <w:bookmarkStart w:id="543" w:name="_Toc274433924"/>
      <w:r>
        <w:rPr>
          <w:rFonts w:hint="eastAsia" w:ascii="宋体" w:hAnsi="宋体"/>
          <w:szCs w:val="21"/>
        </w:rPr>
        <w:t>充电桩应能承受</w:t>
      </w:r>
      <w:r>
        <w:rPr>
          <w:rFonts w:ascii="宋体" w:hAnsi="宋体"/>
          <w:szCs w:val="21"/>
        </w:rPr>
        <w:t>GB/T 17626.2-2006</w:t>
      </w:r>
      <w:r>
        <w:rPr>
          <w:rFonts w:hint="eastAsia" w:ascii="宋体" w:hAnsi="宋体"/>
          <w:szCs w:val="21"/>
        </w:rPr>
        <w:t>中第</w:t>
      </w:r>
      <w:r>
        <w:rPr>
          <w:rFonts w:ascii="宋体" w:hAnsi="宋体"/>
          <w:szCs w:val="21"/>
        </w:rPr>
        <w:t>5</w:t>
      </w:r>
      <w:r>
        <w:rPr>
          <w:rFonts w:hint="eastAsia" w:ascii="宋体" w:hAnsi="宋体"/>
          <w:szCs w:val="21"/>
        </w:rPr>
        <w:t>章规定的试验等级为</w:t>
      </w:r>
      <w:r>
        <w:rPr>
          <w:rFonts w:ascii="宋体" w:hAnsi="宋体"/>
          <w:szCs w:val="21"/>
        </w:rPr>
        <w:t>3</w:t>
      </w:r>
      <w:r>
        <w:rPr>
          <w:rFonts w:hint="eastAsia" w:ascii="宋体" w:hAnsi="宋体"/>
          <w:szCs w:val="21"/>
        </w:rPr>
        <w:t>级的静电放电抗扰度试验。</w:t>
      </w:r>
      <w:bookmarkEnd w:id="543"/>
    </w:p>
    <w:p>
      <w:pPr>
        <w:overflowPunct w:val="0"/>
        <w:topLinePunct/>
        <w:adjustRightInd w:val="0"/>
        <w:snapToGrid w:val="0"/>
        <w:spacing w:line="360" w:lineRule="auto"/>
        <w:ind w:firstLine="420" w:firstLineChars="200"/>
        <w:rPr>
          <w:rFonts w:ascii="宋体" w:hAnsi="宋体"/>
          <w:szCs w:val="21"/>
        </w:rPr>
      </w:pPr>
      <w:bookmarkStart w:id="544" w:name="_Toc274433925"/>
      <w:r>
        <w:rPr>
          <w:rFonts w:hint="eastAsia" w:ascii="宋体" w:hAnsi="宋体"/>
          <w:szCs w:val="21"/>
        </w:rPr>
        <w:t>射频电磁场辐射抗扰度</w:t>
      </w:r>
      <w:bookmarkEnd w:id="544"/>
      <w:r>
        <w:rPr>
          <w:rFonts w:hint="eastAsia" w:ascii="宋体" w:hAnsi="宋体"/>
          <w:szCs w:val="21"/>
        </w:rPr>
        <w:t>：</w:t>
      </w:r>
      <w:bookmarkStart w:id="545" w:name="_Toc274433926"/>
      <w:r>
        <w:rPr>
          <w:rFonts w:hint="eastAsia" w:ascii="宋体" w:hAnsi="宋体"/>
          <w:szCs w:val="21"/>
        </w:rPr>
        <w:t>充电桩应能承受</w:t>
      </w:r>
      <w:r>
        <w:rPr>
          <w:rFonts w:ascii="宋体" w:hAnsi="宋体"/>
          <w:szCs w:val="21"/>
        </w:rPr>
        <w:t>GB/T 17626.3-2006</w:t>
      </w:r>
      <w:r>
        <w:rPr>
          <w:rFonts w:hint="eastAsia" w:ascii="宋体" w:hAnsi="宋体"/>
          <w:szCs w:val="21"/>
        </w:rPr>
        <w:t>中第</w:t>
      </w:r>
      <w:r>
        <w:rPr>
          <w:rFonts w:ascii="宋体" w:hAnsi="宋体"/>
          <w:szCs w:val="21"/>
        </w:rPr>
        <w:t>5</w:t>
      </w:r>
      <w:r>
        <w:rPr>
          <w:rFonts w:hint="eastAsia" w:ascii="宋体" w:hAnsi="宋体"/>
          <w:szCs w:val="21"/>
        </w:rPr>
        <w:t>章规定的试验等级为</w:t>
      </w:r>
      <w:r>
        <w:rPr>
          <w:rFonts w:ascii="宋体" w:hAnsi="宋体"/>
          <w:szCs w:val="21"/>
        </w:rPr>
        <w:t>3</w:t>
      </w:r>
      <w:r>
        <w:rPr>
          <w:rFonts w:hint="eastAsia" w:ascii="宋体" w:hAnsi="宋体"/>
          <w:szCs w:val="21"/>
        </w:rPr>
        <w:t>级的射频电磁场辐射抗扰度试验。</w:t>
      </w:r>
      <w:bookmarkEnd w:id="545"/>
      <w:r>
        <w:rPr>
          <w:rFonts w:hint="eastAsia" w:ascii="宋体" w:hAnsi="宋体"/>
          <w:szCs w:val="21"/>
        </w:rPr>
        <w:tab/>
      </w:r>
    </w:p>
    <w:p>
      <w:pPr>
        <w:overflowPunct w:val="0"/>
        <w:topLinePunct/>
        <w:adjustRightInd w:val="0"/>
        <w:snapToGrid w:val="0"/>
        <w:spacing w:line="360" w:lineRule="auto"/>
        <w:ind w:firstLine="420" w:firstLineChars="200"/>
        <w:rPr>
          <w:rFonts w:ascii="宋体" w:hAnsi="宋体"/>
          <w:szCs w:val="21"/>
        </w:rPr>
      </w:pPr>
      <w:bookmarkStart w:id="546" w:name="_Toc274433927"/>
      <w:r>
        <w:rPr>
          <w:rFonts w:hint="eastAsia" w:ascii="宋体" w:hAnsi="宋体"/>
          <w:szCs w:val="21"/>
        </w:rPr>
        <w:t>电快速瞬变脉冲群抗扰度</w:t>
      </w:r>
      <w:bookmarkEnd w:id="546"/>
      <w:r>
        <w:rPr>
          <w:rFonts w:hint="eastAsia" w:ascii="宋体" w:hAnsi="宋体"/>
          <w:szCs w:val="21"/>
        </w:rPr>
        <w:t xml:space="preserve"> </w:t>
      </w:r>
      <w:bookmarkStart w:id="547" w:name="_Toc274433928"/>
      <w:r>
        <w:rPr>
          <w:rFonts w:hint="eastAsia" w:ascii="宋体" w:hAnsi="宋体"/>
          <w:szCs w:val="21"/>
        </w:rPr>
        <w:t>：充电桩应能承受</w:t>
      </w:r>
      <w:r>
        <w:rPr>
          <w:rFonts w:ascii="宋体" w:hAnsi="宋体"/>
          <w:szCs w:val="21"/>
        </w:rPr>
        <w:t>GB/T 17626.4-2008</w:t>
      </w:r>
      <w:r>
        <w:rPr>
          <w:rFonts w:hint="eastAsia" w:ascii="宋体" w:hAnsi="宋体"/>
          <w:szCs w:val="21"/>
        </w:rPr>
        <w:t>中第</w:t>
      </w:r>
      <w:r>
        <w:rPr>
          <w:rFonts w:ascii="宋体" w:hAnsi="宋体"/>
          <w:szCs w:val="21"/>
        </w:rPr>
        <w:t>5</w:t>
      </w:r>
      <w:r>
        <w:rPr>
          <w:rFonts w:hint="eastAsia" w:ascii="宋体" w:hAnsi="宋体"/>
          <w:szCs w:val="21"/>
        </w:rPr>
        <w:t>章规定的试验等级为</w:t>
      </w:r>
      <w:r>
        <w:rPr>
          <w:rFonts w:ascii="宋体" w:hAnsi="宋体"/>
          <w:szCs w:val="21"/>
        </w:rPr>
        <w:t>3</w:t>
      </w:r>
      <w:r>
        <w:rPr>
          <w:rFonts w:hint="eastAsia" w:ascii="宋体" w:hAnsi="宋体"/>
          <w:szCs w:val="21"/>
        </w:rPr>
        <w:t>级的电快速瞬变脉冲群抗扰度试验。</w:t>
      </w:r>
      <w:bookmarkEnd w:id="547"/>
    </w:p>
    <w:p>
      <w:pPr>
        <w:overflowPunct w:val="0"/>
        <w:topLinePunct/>
        <w:adjustRightInd w:val="0"/>
        <w:snapToGrid w:val="0"/>
        <w:spacing w:line="360" w:lineRule="auto"/>
        <w:ind w:firstLine="420" w:firstLineChars="200"/>
        <w:rPr>
          <w:rFonts w:ascii="宋体" w:hAnsi="宋体"/>
          <w:szCs w:val="21"/>
        </w:rPr>
      </w:pPr>
      <w:bookmarkStart w:id="548" w:name="_Toc274433929"/>
      <w:r>
        <w:rPr>
          <w:rFonts w:hint="eastAsia" w:ascii="宋体" w:hAnsi="宋体"/>
          <w:szCs w:val="21"/>
        </w:rPr>
        <w:t>浪涌（冲击）抗扰度</w:t>
      </w:r>
      <w:bookmarkEnd w:id="548"/>
      <w:bookmarkStart w:id="549" w:name="_Toc274433930"/>
      <w:r>
        <w:rPr>
          <w:rFonts w:hint="eastAsia" w:ascii="宋体" w:hAnsi="宋体"/>
          <w:szCs w:val="21"/>
        </w:rPr>
        <w:t>：充电桩应能承受</w:t>
      </w:r>
      <w:r>
        <w:rPr>
          <w:rFonts w:ascii="宋体" w:hAnsi="宋体"/>
          <w:szCs w:val="21"/>
        </w:rPr>
        <w:t>GB/T 17626.5-2008</w:t>
      </w:r>
      <w:r>
        <w:rPr>
          <w:rFonts w:hint="eastAsia" w:ascii="宋体" w:hAnsi="宋体"/>
          <w:szCs w:val="21"/>
        </w:rPr>
        <w:t>中第</w:t>
      </w:r>
      <w:r>
        <w:rPr>
          <w:rFonts w:ascii="宋体" w:hAnsi="宋体"/>
          <w:szCs w:val="21"/>
        </w:rPr>
        <w:t>5</w:t>
      </w:r>
      <w:r>
        <w:rPr>
          <w:rFonts w:hint="eastAsia" w:ascii="宋体" w:hAnsi="宋体"/>
          <w:szCs w:val="21"/>
        </w:rPr>
        <w:t>章规定的试验等级为</w:t>
      </w:r>
      <w:r>
        <w:rPr>
          <w:rFonts w:ascii="宋体" w:hAnsi="宋体"/>
          <w:szCs w:val="21"/>
        </w:rPr>
        <w:t>3</w:t>
      </w:r>
      <w:r>
        <w:rPr>
          <w:rFonts w:hint="eastAsia" w:ascii="宋体" w:hAnsi="宋体"/>
          <w:szCs w:val="21"/>
        </w:rPr>
        <w:t>级的浪涌（冲击）抗扰度试验。</w:t>
      </w:r>
      <w:bookmarkEnd w:id="549"/>
    </w:p>
    <w:p>
      <w:pPr>
        <w:overflowPunct w:val="0"/>
        <w:topLinePunct/>
        <w:adjustRightInd w:val="0"/>
        <w:snapToGrid w:val="0"/>
        <w:spacing w:line="360" w:lineRule="auto"/>
        <w:ind w:firstLine="420" w:firstLineChars="200"/>
        <w:rPr>
          <w:rFonts w:ascii="宋体" w:hAnsi="宋体"/>
          <w:szCs w:val="21"/>
        </w:rPr>
      </w:pPr>
      <w:bookmarkStart w:id="550" w:name="_Toc413504323"/>
      <w:r>
        <w:rPr>
          <w:rFonts w:hint="eastAsia" w:ascii="宋体" w:hAnsi="宋体"/>
          <w:szCs w:val="21"/>
        </w:rPr>
        <w:t>电压</w:t>
      </w:r>
      <w:r>
        <w:rPr>
          <w:rFonts w:ascii="宋体" w:hAnsi="宋体"/>
          <w:szCs w:val="21"/>
        </w:rPr>
        <w:t>暂降、短时中断</w:t>
      </w:r>
      <w:r>
        <w:rPr>
          <w:rFonts w:hint="eastAsia" w:ascii="宋体" w:hAnsi="宋体"/>
          <w:szCs w:val="21"/>
        </w:rPr>
        <w:t>抗扰度</w:t>
      </w:r>
      <w:r>
        <w:rPr>
          <w:rFonts w:ascii="宋体" w:hAnsi="宋体"/>
          <w:szCs w:val="21"/>
        </w:rPr>
        <w:t>：充电</w:t>
      </w:r>
      <w:r>
        <w:rPr>
          <w:rFonts w:hint="eastAsia" w:ascii="宋体" w:hAnsi="宋体"/>
          <w:szCs w:val="21"/>
        </w:rPr>
        <w:t>桩</w:t>
      </w:r>
      <w:r>
        <w:rPr>
          <w:rFonts w:ascii="宋体" w:hAnsi="宋体"/>
          <w:szCs w:val="21"/>
        </w:rPr>
        <w:t>应能承受GB/T 17626.11-2008中第5章规定的</w:t>
      </w:r>
      <w:r>
        <w:rPr>
          <w:rFonts w:hint="eastAsia" w:ascii="宋体" w:hAnsi="宋体"/>
          <w:szCs w:val="21"/>
        </w:rPr>
        <w:t>电压</w:t>
      </w:r>
      <w:r>
        <w:rPr>
          <w:rFonts w:ascii="宋体" w:hAnsi="宋体"/>
          <w:szCs w:val="21"/>
        </w:rPr>
        <w:t>试验等级在</w:t>
      </w:r>
      <w:r>
        <w:rPr>
          <w:rFonts w:hint="eastAsia" w:ascii="宋体" w:hAnsi="宋体"/>
          <w:szCs w:val="21"/>
        </w:rPr>
        <w:t>0</w:t>
      </w:r>
      <w:r>
        <w:rPr>
          <w:rFonts w:ascii="宋体" w:hAnsi="宋体"/>
          <w:szCs w:val="21"/>
        </w:rPr>
        <w:t>%、40%、70%的额定工作电压的</w:t>
      </w:r>
      <w:r>
        <w:rPr>
          <w:rFonts w:hint="eastAsia" w:ascii="宋体" w:hAnsi="宋体"/>
          <w:szCs w:val="21"/>
        </w:rPr>
        <w:t>电压暂降、短时中断抗扰度试验</w:t>
      </w:r>
      <w:r>
        <w:rPr>
          <w:rFonts w:ascii="宋体" w:hAnsi="宋体"/>
          <w:szCs w:val="21"/>
        </w:rPr>
        <w:t>。</w:t>
      </w:r>
    </w:p>
    <w:p>
      <w:pPr>
        <w:overflowPunct w:val="0"/>
        <w:topLinePunct/>
        <w:adjustRightInd w:val="0"/>
        <w:snapToGrid w:val="0"/>
        <w:spacing w:line="360" w:lineRule="auto"/>
        <w:ind w:firstLine="420" w:firstLineChars="200"/>
        <w:rPr>
          <w:rFonts w:ascii="宋体" w:hAnsi="宋体"/>
          <w:szCs w:val="21"/>
        </w:rPr>
      </w:pPr>
      <w:bookmarkStart w:id="551" w:name="_Toc274433937"/>
      <w:r>
        <w:rPr>
          <w:rFonts w:ascii="宋体" w:hAnsi="宋体"/>
          <w:szCs w:val="21"/>
        </w:rPr>
        <w:t>传导和辐射发射限值要求</w:t>
      </w:r>
      <w:bookmarkEnd w:id="551"/>
      <w:bookmarkStart w:id="552" w:name="_Toc274433939"/>
      <w:r>
        <w:rPr>
          <w:rFonts w:ascii="宋体" w:hAnsi="宋体"/>
          <w:szCs w:val="21"/>
        </w:rPr>
        <w:t>：充电</w:t>
      </w:r>
      <w:r>
        <w:rPr>
          <w:rFonts w:hint="eastAsia" w:ascii="宋体" w:hAnsi="宋体"/>
          <w:szCs w:val="21"/>
        </w:rPr>
        <w:t>桩</w:t>
      </w:r>
      <w:r>
        <w:rPr>
          <w:rFonts w:ascii="宋体" w:hAnsi="宋体"/>
          <w:szCs w:val="21"/>
        </w:rPr>
        <w:t>的电源端口应符合表</w:t>
      </w:r>
      <w:r>
        <w:rPr>
          <w:rFonts w:hint="eastAsia" w:ascii="宋体" w:hAnsi="宋体"/>
          <w:szCs w:val="21"/>
        </w:rPr>
        <w:t>4</w:t>
      </w:r>
      <w:r>
        <w:rPr>
          <w:rFonts w:ascii="宋体" w:hAnsi="宋体"/>
          <w:szCs w:val="21"/>
        </w:rPr>
        <w:t>规定的传导发射限值，外壳端口应符合表</w:t>
      </w:r>
      <w:r>
        <w:rPr>
          <w:rFonts w:hint="eastAsia" w:ascii="宋体" w:hAnsi="宋体"/>
          <w:szCs w:val="21"/>
        </w:rPr>
        <w:t>5</w:t>
      </w:r>
      <w:r>
        <w:rPr>
          <w:rFonts w:ascii="宋体" w:hAnsi="宋体"/>
          <w:szCs w:val="21"/>
        </w:rPr>
        <w:t>规定的辐射发射限值。</w:t>
      </w:r>
      <w:bookmarkEnd w:id="552"/>
    </w:p>
    <w:p>
      <w:pPr>
        <w:widowControl/>
        <w:tabs>
          <w:tab w:val="left" w:pos="315"/>
        </w:tabs>
        <w:spacing w:after="161" w:line="276" w:lineRule="auto"/>
        <w:jc w:val="center"/>
        <w:rPr>
          <w:rFonts w:ascii="宋体" w:hAnsi="宋体"/>
          <w:kern w:val="0"/>
          <w:szCs w:val="21"/>
        </w:rPr>
      </w:pPr>
      <w:bookmarkStart w:id="553" w:name="_Toc274433940"/>
      <w:r>
        <w:rPr>
          <w:rFonts w:hint="eastAsia" w:ascii="宋体" w:hAnsi="宋体"/>
          <w:kern w:val="0"/>
          <w:szCs w:val="21"/>
        </w:rPr>
        <w:t>表4  传导发射限值</w:t>
      </w:r>
      <w:bookmarkEnd w:id="553"/>
    </w:p>
    <w:tbl>
      <w:tblPr>
        <w:tblStyle w:val="50"/>
        <w:tblW w:w="91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2934"/>
        <w:gridCol w:w="2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vMerge w:val="restart"/>
            <w:vAlign w:val="center"/>
          </w:tcPr>
          <w:p>
            <w:pPr>
              <w:adjustRightInd w:val="0"/>
              <w:snapToGrid w:val="0"/>
              <w:jc w:val="center"/>
              <w:rPr>
                <w:rFonts w:ascii="宋体" w:hAnsi="宋体"/>
                <w:w w:val="80"/>
                <w:szCs w:val="21"/>
              </w:rPr>
            </w:pPr>
            <w:r>
              <w:rPr>
                <w:rFonts w:ascii="宋体" w:hAnsi="宋体"/>
                <w:szCs w:val="21"/>
              </w:rPr>
              <w:t>频率范围</w:t>
            </w:r>
            <w:r>
              <w:rPr>
                <w:rFonts w:hint="eastAsia" w:ascii="宋体" w:hAnsi="宋体"/>
                <w:szCs w:val="21"/>
              </w:rPr>
              <w:t>（</w:t>
            </w:r>
            <w:r>
              <w:rPr>
                <w:rFonts w:ascii="宋体" w:hAnsi="宋体"/>
                <w:szCs w:val="21"/>
              </w:rPr>
              <w:t>MHz</w:t>
            </w:r>
            <w:r>
              <w:rPr>
                <w:rFonts w:hint="eastAsia" w:ascii="宋体" w:hAnsi="宋体"/>
                <w:szCs w:val="21"/>
              </w:rPr>
              <w:t>）</w:t>
            </w:r>
          </w:p>
        </w:tc>
        <w:tc>
          <w:tcPr>
            <w:tcW w:w="5891" w:type="dxa"/>
            <w:gridSpan w:val="2"/>
            <w:vAlign w:val="center"/>
          </w:tcPr>
          <w:p>
            <w:pPr>
              <w:adjustRightInd w:val="0"/>
              <w:snapToGrid w:val="0"/>
              <w:jc w:val="center"/>
              <w:rPr>
                <w:rFonts w:ascii="宋体" w:hAnsi="宋体"/>
                <w:szCs w:val="21"/>
              </w:rPr>
            </w:pPr>
            <w:bookmarkStart w:id="554" w:name="_Toc274433942"/>
            <w:r>
              <w:rPr>
                <w:rFonts w:ascii="宋体" w:hAnsi="宋体"/>
                <w:szCs w:val="21"/>
              </w:rPr>
              <w:t>发射限值dB(μV)</w:t>
            </w:r>
            <w:bookmarkEnd w:id="5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227" w:type="dxa"/>
            <w:vMerge w:val="continue"/>
            <w:vAlign w:val="center"/>
          </w:tcPr>
          <w:p>
            <w:pPr>
              <w:adjustRightInd w:val="0"/>
              <w:snapToGrid w:val="0"/>
              <w:jc w:val="center"/>
              <w:rPr>
                <w:rFonts w:ascii="宋体" w:hAnsi="宋体"/>
                <w:w w:val="80"/>
                <w:szCs w:val="21"/>
              </w:rPr>
            </w:pPr>
          </w:p>
        </w:tc>
        <w:tc>
          <w:tcPr>
            <w:tcW w:w="2934" w:type="dxa"/>
            <w:vAlign w:val="center"/>
          </w:tcPr>
          <w:p>
            <w:pPr>
              <w:adjustRightInd w:val="0"/>
              <w:snapToGrid w:val="0"/>
              <w:jc w:val="center"/>
              <w:rPr>
                <w:rFonts w:ascii="宋体" w:hAnsi="宋体"/>
                <w:szCs w:val="21"/>
              </w:rPr>
            </w:pPr>
            <w:bookmarkStart w:id="555" w:name="_Toc274433943"/>
            <w:r>
              <w:rPr>
                <w:rFonts w:ascii="宋体" w:hAnsi="宋体"/>
                <w:szCs w:val="21"/>
              </w:rPr>
              <w:t>准峰值</w:t>
            </w:r>
            <w:bookmarkEnd w:id="555"/>
          </w:p>
        </w:tc>
        <w:tc>
          <w:tcPr>
            <w:tcW w:w="2957" w:type="dxa"/>
            <w:vAlign w:val="center"/>
          </w:tcPr>
          <w:p>
            <w:pPr>
              <w:adjustRightInd w:val="0"/>
              <w:snapToGrid w:val="0"/>
              <w:jc w:val="center"/>
              <w:rPr>
                <w:rFonts w:ascii="宋体" w:hAnsi="宋体"/>
                <w:szCs w:val="21"/>
              </w:rPr>
            </w:pPr>
            <w:bookmarkStart w:id="556" w:name="_Toc274433944"/>
            <w:r>
              <w:rPr>
                <w:rFonts w:ascii="宋体" w:hAnsi="宋体"/>
                <w:szCs w:val="21"/>
              </w:rPr>
              <w:t>平均值</w:t>
            </w:r>
            <w:bookmarkEnd w:id="55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3227" w:type="dxa"/>
            <w:vAlign w:val="center"/>
          </w:tcPr>
          <w:p>
            <w:pPr>
              <w:adjustRightInd w:val="0"/>
              <w:snapToGrid w:val="0"/>
              <w:jc w:val="center"/>
              <w:rPr>
                <w:rFonts w:ascii="宋体" w:hAnsi="宋体"/>
                <w:szCs w:val="21"/>
              </w:rPr>
            </w:pPr>
            <w:bookmarkStart w:id="557" w:name="_Toc274433945"/>
            <w:r>
              <w:rPr>
                <w:rFonts w:ascii="宋体" w:hAnsi="宋体"/>
                <w:szCs w:val="21"/>
              </w:rPr>
              <w:t>0.15～0.5（不含0.5）</w:t>
            </w:r>
            <w:bookmarkEnd w:id="557"/>
          </w:p>
        </w:tc>
        <w:tc>
          <w:tcPr>
            <w:tcW w:w="2934" w:type="dxa"/>
            <w:vAlign w:val="center"/>
          </w:tcPr>
          <w:p>
            <w:pPr>
              <w:adjustRightInd w:val="0"/>
              <w:snapToGrid w:val="0"/>
              <w:jc w:val="center"/>
              <w:rPr>
                <w:rFonts w:ascii="宋体" w:hAnsi="宋体"/>
                <w:szCs w:val="21"/>
              </w:rPr>
            </w:pPr>
            <w:bookmarkStart w:id="558" w:name="_Toc274433946"/>
            <w:r>
              <w:rPr>
                <w:rFonts w:ascii="宋体" w:hAnsi="宋体"/>
                <w:szCs w:val="21"/>
              </w:rPr>
              <w:t>79</w:t>
            </w:r>
            <w:bookmarkEnd w:id="558"/>
          </w:p>
        </w:tc>
        <w:tc>
          <w:tcPr>
            <w:tcW w:w="2957" w:type="dxa"/>
            <w:vAlign w:val="center"/>
          </w:tcPr>
          <w:p>
            <w:pPr>
              <w:adjustRightInd w:val="0"/>
              <w:snapToGrid w:val="0"/>
              <w:jc w:val="center"/>
              <w:rPr>
                <w:rFonts w:ascii="宋体" w:hAnsi="宋体"/>
                <w:szCs w:val="21"/>
              </w:rPr>
            </w:pPr>
            <w:bookmarkStart w:id="559" w:name="_Toc274433947"/>
            <w:r>
              <w:rPr>
                <w:rFonts w:ascii="宋体" w:hAnsi="宋体"/>
                <w:szCs w:val="21"/>
              </w:rPr>
              <w:t>66</w:t>
            </w:r>
            <w:bookmarkEnd w:id="55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3227" w:type="dxa"/>
            <w:vAlign w:val="center"/>
          </w:tcPr>
          <w:p>
            <w:pPr>
              <w:adjustRightInd w:val="0"/>
              <w:snapToGrid w:val="0"/>
              <w:jc w:val="center"/>
              <w:rPr>
                <w:rFonts w:ascii="宋体" w:hAnsi="宋体"/>
                <w:szCs w:val="21"/>
              </w:rPr>
            </w:pPr>
            <w:bookmarkStart w:id="560" w:name="_Toc274433948"/>
            <w:r>
              <w:rPr>
                <w:rFonts w:ascii="宋体" w:hAnsi="宋体"/>
                <w:szCs w:val="21"/>
              </w:rPr>
              <w:t>0.5～30</w:t>
            </w:r>
            <w:bookmarkEnd w:id="560"/>
          </w:p>
        </w:tc>
        <w:tc>
          <w:tcPr>
            <w:tcW w:w="2934" w:type="dxa"/>
            <w:vAlign w:val="center"/>
          </w:tcPr>
          <w:p>
            <w:pPr>
              <w:adjustRightInd w:val="0"/>
              <w:snapToGrid w:val="0"/>
              <w:jc w:val="center"/>
              <w:rPr>
                <w:rFonts w:ascii="宋体" w:hAnsi="宋体"/>
                <w:szCs w:val="21"/>
              </w:rPr>
            </w:pPr>
            <w:bookmarkStart w:id="561" w:name="_Toc274433949"/>
            <w:r>
              <w:rPr>
                <w:rFonts w:ascii="宋体" w:hAnsi="宋体"/>
                <w:szCs w:val="21"/>
              </w:rPr>
              <w:t>73</w:t>
            </w:r>
            <w:bookmarkEnd w:id="561"/>
          </w:p>
        </w:tc>
        <w:tc>
          <w:tcPr>
            <w:tcW w:w="2957" w:type="dxa"/>
            <w:vAlign w:val="center"/>
          </w:tcPr>
          <w:p>
            <w:pPr>
              <w:adjustRightInd w:val="0"/>
              <w:snapToGrid w:val="0"/>
              <w:jc w:val="center"/>
              <w:rPr>
                <w:rFonts w:ascii="宋体" w:hAnsi="宋体"/>
                <w:szCs w:val="21"/>
              </w:rPr>
            </w:pPr>
            <w:bookmarkStart w:id="562" w:name="_Toc274433950"/>
            <w:r>
              <w:rPr>
                <w:rFonts w:ascii="宋体" w:hAnsi="宋体"/>
                <w:szCs w:val="21"/>
              </w:rPr>
              <w:t>60</w:t>
            </w:r>
            <w:bookmarkEnd w:id="562"/>
          </w:p>
        </w:tc>
      </w:tr>
    </w:tbl>
    <w:p>
      <w:pPr>
        <w:widowControl/>
        <w:tabs>
          <w:tab w:val="left" w:pos="315"/>
        </w:tabs>
        <w:spacing w:before="161" w:after="161" w:line="276" w:lineRule="auto"/>
        <w:jc w:val="center"/>
        <w:rPr>
          <w:rFonts w:ascii="宋体" w:hAnsi="宋体"/>
          <w:kern w:val="0"/>
          <w:szCs w:val="21"/>
        </w:rPr>
      </w:pPr>
      <w:bookmarkStart w:id="563" w:name="_Toc274433951"/>
      <w:r>
        <w:rPr>
          <w:rFonts w:hint="eastAsia" w:ascii="宋体" w:hAnsi="宋体"/>
          <w:kern w:val="0"/>
          <w:szCs w:val="21"/>
        </w:rPr>
        <w:t>表5  辐射发射限值</w:t>
      </w:r>
      <w:bookmarkEnd w:id="563"/>
    </w:p>
    <w:tbl>
      <w:tblPr>
        <w:tblStyle w:val="50"/>
        <w:tblW w:w="91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5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3227" w:type="dxa"/>
            <w:vMerge w:val="restart"/>
            <w:vAlign w:val="center"/>
          </w:tcPr>
          <w:p>
            <w:pPr>
              <w:adjustRightInd w:val="0"/>
              <w:snapToGrid w:val="0"/>
              <w:jc w:val="center"/>
              <w:rPr>
                <w:rFonts w:ascii="宋体" w:hAnsi="宋体"/>
                <w:szCs w:val="21"/>
              </w:rPr>
            </w:pPr>
            <w:bookmarkStart w:id="564" w:name="_Toc274433952"/>
            <w:r>
              <w:rPr>
                <w:rFonts w:ascii="宋体" w:hAnsi="宋体"/>
                <w:szCs w:val="21"/>
              </w:rPr>
              <w:t>频率范围</w:t>
            </w:r>
            <w:r>
              <w:rPr>
                <w:rFonts w:hint="eastAsia" w:ascii="宋体" w:hAnsi="宋体"/>
                <w:szCs w:val="21"/>
              </w:rPr>
              <w:t>（</w:t>
            </w:r>
            <w:r>
              <w:rPr>
                <w:rFonts w:ascii="宋体" w:hAnsi="宋体"/>
                <w:szCs w:val="21"/>
              </w:rPr>
              <w:t>MHz</w:t>
            </w:r>
            <w:r>
              <w:rPr>
                <w:rFonts w:hint="eastAsia" w:ascii="宋体" w:hAnsi="宋体"/>
                <w:szCs w:val="21"/>
              </w:rPr>
              <w:t>）</w:t>
            </w:r>
            <w:bookmarkEnd w:id="564"/>
          </w:p>
        </w:tc>
        <w:tc>
          <w:tcPr>
            <w:tcW w:w="5891" w:type="dxa"/>
            <w:vAlign w:val="center"/>
          </w:tcPr>
          <w:p>
            <w:pPr>
              <w:adjustRightInd w:val="0"/>
              <w:snapToGrid w:val="0"/>
              <w:jc w:val="center"/>
              <w:rPr>
                <w:rFonts w:ascii="宋体" w:hAnsi="宋体"/>
                <w:szCs w:val="21"/>
              </w:rPr>
            </w:pPr>
            <w:bookmarkStart w:id="565" w:name="_Toc274433953"/>
            <w:r>
              <w:rPr>
                <w:rFonts w:ascii="宋体" w:hAnsi="宋体"/>
                <w:szCs w:val="21"/>
              </w:rPr>
              <w:t>在10 m测量距离处辐射发射限值dB(μV/m)</w:t>
            </w:r>
            <w:bookmarkEnd w:id="56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3227" w:type="dxa"/>
            <w:vMerge w:val="continue"/>
            <w:vAlign w:val="center"/>
          </w:tcPr>
          <w:p>
            <w:pPr>
              <w:adjustRightInd w:val="0"/>
              <w:snapToGrid w:val="0"/>
              <w:jc w:val="center"/>
              <w:rPr>
                <w:rFonts w:ascii="宋体" w:hAnsi="宋体"/>
                <w:szCs w:val="21"/>
              </w:rPr>
            </w:pPr>
          </w:p>
        </w:tc>
        <w:tc>
          <w:tcPr>
            <w:tcW w:w="5891" w:type="dxa"/>
            <w:vAlign w:val="center"/>
          </w:tcPr>
          <w:p>
            <w:pPr>
              <w:adjustRightInd w:val="0"/>
              <w:snapToGrid w:val="0"/>
              <w:jc w:val="center"/>
              <w:rPr>
                <w:rFonts w:ascii="宋体" w:hAnsi="宋体"/>
                <w:szCs w:val="21"/>
              </w:rPr>
            </w:pPr>
            <w:bookmarkStart w:id="566" w:name="_Toc274433954"/>
            <w:r>
              <w:rPr>
                <w:rFonts w:ascii="宋体" w:hAnsi="宋体"/>
                <w:szCs w:val="21"/>
              </w:rPr>
              <w:t>准峰值</w:t>
            </w:r>
            <w:bookmarkEnd w:id="56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3227" w:type="dxa"/>
            <w:vAlign w:val="center"/>
          </w:tcPr>
          <w:p>
            <w:pPr>
              <w:adjustRightInd w:val="0"/>
              <w:snapToGrid w:val="0"/>
              <w:jc w:val="center"/>
              <w:rPr>
                <w:rFonts w:ascii="宋体" w:hAnsi="宋体"/>
                <w:szCs w:val="21"/>
              </w:rPr>
            </w:pPr>
            <w:bookmarkStart w:id="567" w:name="_Toc274433955"/>
            <w:r>
              <w:rPr>
                <w:rFonts w:ascii="宋体" w:hAnsi="宋体"/>
                <w:szCs w:val="21"/>
              </w:rPr>
              <w:t>30～230</w:t>
            </w:r>
            <w:bookmarkEnd w:id="567"/>
          </w:p>
        </w:tc>
        <w:tc>
          <w:tcPr>
            <w:tcW w:w="5891" w:type="dxa"/>
            <w:vAlign w:val="center"/>
          </w:tcPr>
          <w:p>
            <w:pPr>
              <w:autoSpaceDE w:val="0"/>
              <w:autoSpaceDN w:val="0"/>
              <w:adjustRightInd w:val="0"/>
              <w:snapToGrid w:val="0"/>
              <w:jc w:val="center"/>
              <w:rPr>
                <w:rFonts w:ascii="宋体" w:hAnsi="宋体"/>
                <w:kern w:val="0"/>
                <w:szCs w:val="21"/>
              </w:rPr>
            </w:pPr>
            <w:bookmarkStart w:id="568" w:name="_Toc274433956"/>
            <w:r>
              <w:rPr>
                <w:rFonts w:ascii="宋体" w:hAnsi="宋体"/>
                <w:kern w:val="0"/>
                <w:szCs w:val="21"/>
              </w:rPr>
              <w:t>40</w:t>
            </w:r>
            <w:bookmarkEnd w:id="56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3227" w:type="dxa"/>
            <w:vAlign w:val="center"/>
          </w:tcPr>
          <w:p>
            <w:pPr>
              <w:adjustRightInd w:val="0"/>
              <w:snapToGrid w:val="0"/>
              <w:jc w:val="center"/>
              <w:rPr>
                <w:rFonts w:ascii="宋体" w:hAnsi="宋体"/>
                <w:szCs w:val="21"/>
              </w:rPr>
            </w:pPr>
            <w:bookmarkStart w:id="569" w:name="_Toc274433957"/>
            <w:r>
              <w:rPr>
                <w:rFonts w:ascii="宋体" w:hAnsi="宋体"/>
                <w:szCs w:val="21"/>
              </w:rPr>
              <w:t>230～1000（不含230）</w:t>
            </w:r>
            <w:bookmarkEnd w:id="569"/>
          </w:p>
        </w:tc>
        <w:tc>
          <w:tcPr>
            <w:tcW w:w="5891" w:type="dxa"/>
            <w:vAlign w:val="center"/>
          </w:tcPr>
          <w:p>
            <w:pPr>
              <w:autoSpaceDE w:val="0"/>
              <w:autoSpaceDN w:val="0"/>
              <w:adjustRightInd w:val="0"/>
              <w:snapToGrid w:val="0"/>
              <w:jc w:val="center"/>
              <w:rPr>
                <w:rFonts w:ascii="宋体" w:hAnsi="宋体"/>
                <w:kern w:val="0"/>
                <w:szCs w:val="21"/>
              </w:rPr>
            </w:pPr>
            <w:bookmarkStart w:id="570" w:name="_Toc274433958"/>
            <w:r>
              <w:rPr>
                <w:rFonts w:ascii="宋体" w:hAnsi="宋体"/>
                <w:kern w:val="0"/>
                <w:szCs w:val="21"/>
              </w:rPr>
              <w:t>47</w:t>
            </w:r>
            <w:bookmarkEnd w:id="570"/>
          </w:p>
        </w:tc>
      </w:tr>
    </w:tbl>
    <w:p>
      <w:pPr>
        <w:numPr>
          <w:ilvl w:val="0"/>
          <w:numId w:val="10"/>
        </w:numPr>
        <w:tabs>
          <w:tab w:val="left" w:pos="525"/>
          <w:tab w:val="left" w:pos="1140"/>
        </w:tabs>
        <w:adjustRightInd w:val="0"/>
        <w:snapToGrid w:val="0"/>
        <w:spacing w:line="360" w:lineRule="auto"/>
        <w:rPr>
          <w:rFonts w:ascii="宋体" w:hAnsi="宋体"/>
          <w:b/>
          <w:szCs w:val="21"/>
        </w:rPr>
      </w:pPr>
      <w:bookmarkStart w:id="571" w:name="_Toc478404370"/>
      <w:bookmarkStart w:id="572" w:name="_Toc510514522"/>
      <w:r>
        <w:rPr>
          <w:rFonts w:hint="eastAsia" w:ascii="宋体" w:hAnsi="宋体"/>
          <w:b/>
          <w:szCs w:val="21"/>
        </w:rPr>
        <w:t>锁紧装置</w:t>
      </w:r>
    </w:p>
    <w:p>
      <w:pPr>
        <w:overflowPunct w:val="0"/>
        <w:topLinePunct/>
        <w:adjustRightInd w:val="0"/>
        <w:snapToGrid w:val="0"/>
        <w:spacing w:line="360" w:lineRule="auto"/>
        <w:ind w:firstLine="420" w:firstLineChars="200"/>
        <w:rPr>
          <w:rFonts w:ascii="宋体" w:hAnsi="宋体"/>
          <w:szCs w:val="21"/>
        </w:rPr>
      </w:pPr>
      <w:r>
        <w:rPr>
          <w:rFonts w:hint="eastAsia" w:ascii="宋体" w:hAnsi="宋体"/>
          <w:szCs w:val="21"/>
        </w:rPr>
        <w:t>交流充电电流大于 16A 时，供电接口和车辆接口应具有锁止功能，该锁止功能应符合 GB/T 20234.1-2015相关要求。供电插座和车辆插座应安装电子锁止装置防止充电过程中的意外断开。当电子锁未可靠锁止时供电设备或电动汽车应停止充电或不启动充电。</w:t>
      </w:r>
    </w:p>
    <w:p>
      <w:pPr>
        <w:keepNext/>
        <w:keepLines/>
        <w:spacing w:before="20" w:after="20" w:line="415" w:lineRule="auto"/>
        <w:ind w:firstLine="102" w:firstLineChars="49"/>
        <w:outlineLvl w:val="2"/>
        <w:rPr>
          <w:rFonts w:ascii="宋体" w:hAnsi="宋体"/>
          <w:szCs w:val="21"/>
        </w:rPr>
      </w:pPr>
      <w:r>
        <w:rPr>
          <w:rFonts w:hint="eastAsia" w:ascii="宋体" w:hAnsi="宋体"/>
          <w:szCs w:val="21"/>
        </w:rPr>
        <w:t>1.4其它要求</w:t>
      </w:r>
      <w:bookmarkEnd w:id="550"/>
      <w:bookmarkEnd w:id="571"/>
      <w:bookmarkEnd w:id="572"/>
    </w:p>
    <w:p>
      <w:pPr>
        <w:tabs>
          <w:tab w:val="left" w:pos="525"/>
          <w:tab w:val="left" w:pos="1140"/>
        </w:tabs>
        <w:adjustRightInd w:val="0"/>
        <w:snapToGrid w:val="0"/>
        <w:spacing w:line="360" w:lineRule="auto"/>
        <w:rPr>
          <w:rFonts w:ascii="宋体" w:hAnsi="宋体"/>
          <w:b/>
          <w:szCs w:val="21"/>
        </w:rPr>
      </w:pPr>
      <w:r>
        <w:rPr>
          <w:rFonts w:hint="eastAsia" w:ascii="宋体" w:hAnsi="宋体"/>
          <w:b/>
          <w:szCs w:val="21"/>
        </w:rPr>
        <w:t>（1）充电桩体</w:t>
      </w:r>
    </w:p>
    <w:p>
      <w:pPr>
        <w:overflowPunct w:val="0"/>
        <w:topLinePunct/>
        <w:adjustRightInd w:val="0"/>
        <w:snapToGrid w:val="0"/>
        <w:spacing w:line="360" w:lineRule="auto"/>
        <w:ind w:firstLine="420" w:firstLineChars="200"/>
        <w:rPr>
          <w:rFonts w:ascii="宋体" w:hAnsi="宋体"/>
          <w:szCs w:val="21"/>
        </w:rPr>
      </w:pPr>
      <w:r>
        <w:rPr>
          <w:rFonts w:hint="eastAsia" w:ascii="宋体" w:hAnsi="宋体"/>
          <w:szCs w:val="21"/>
        </w:rPr>
        <w:t>桩体应外观线条流畅、整体紧凑、简洁时尚，与安装地点</w:t>
      </w:r>
      <w:r>
        <w:rPr>
          <w:rFonts w:ascii="宋体" w:hAnsi="宋体"/>
          <w:szCs w:val="21"/>
        </w:rPr>
        <w:t>周边</w:t>
      </w:r>
      <w:r>
        <w:rPr>
          <w:rFonts w:hint="eastAsia" w:ascii="宋体" w:hAnsi="宋体"/>
          <w:szCs w:val="21"/>
        </w:rPr>
        <w:t>环境相协调。</w:t>
      </w:r>
    </w:p>
    <w:p>
      <w:pPr>
        <w:overflowPunct w:val="0"/>
        <w:topLinePunct/>
        <w:adjustRightInd w:val="0"/>
        <w:snapToGrid w:val="0"/>
        <w:spacing w:line="360" w:lineRule="auto"/>
        <w:ind w:firstLine="420" w:firstLineChars="200"/>
        <w:rPr>
          <w:rFonts w:ascii="宋体" w:hAnsi="宋体"/>
          <w:szCs w:val="21"/>
        </w:rPr>
      </w:pPr>
      <w:r>
        <w:rPr>
          <w:rFonts w:hint="eastAsia" w:ascii="宋体" w:hAnsi="宋体"/>
          <w:szCs w:val="21"/>
        </w:rPr>
        <w:t>桩体的</w:t>
      </w:r>
      <w:r>
        <w:rPr>
          <w:rFonts w:ascii="宋体" w:hAnsi="宋体"/>
          <w:szCs w:val="21"/>
        </w:rPr>
        <w:t>非接触刷卡区域</w:t>
      </w:r>
      <w:r>
        <w:rPr>
          <w:rFonts w:hint="eastAsia" w:ascii="宋体" w:hAnsi="宋体"/>
          <w:szCs w:val="21"/>
        </w:rPr>
        <w:t>应具备良好感应效果。</w:t>
      </w:r>
    </w:p>
    <w:p>
      <w:pPr>
        <w:overflowPunct w:val="0"/>
        <w:topLinePunct/>
        <w:adjustRightInd w:val="0"/>
        <w:snapToGrid w:val="0"/>
        <w:spacing w:line="360" w:lineRule="auto"/>
        <w:ind w:firstLine="420" w:firstLineChars="200"/>
        <w:rPr>
          <w:rFonts w:ascii="宋体" w:hAnsi="宋体"/>
          <w:szCs w:val="21"/>
        </w:rPr>
      </w:pPr>
      <w:r>
        <w:rPr>
          <w:rFonts w:hint="eastAsia" w:ascii="宋体" w:hAnsi="宋体"/>
          <w:szCs w:val="21"/>
        </w:rPr>
        <w:t>桩体内部线束，应</w:t>
      </w:r>
      <w:r>
        <w:rPr>
          <w:rFonts w:ascii="宋体" w:hAnsi="宋体"/>
          <w:szCs w:val="21"/>
        </w:rPr>
        <w:t>排布整齐、</w:t>
      </w:r>
      <w:r>
        <w:rPr>
          <w:rFonts w:hint="eastAsia" w:ascii="宋体" w:hAnsi="宋体"/>
          <w:szCs w:val="21"/>
        </w:rPr>
        <w:t>规整</w:t>
      </w:r>
      <w:r>
        <w:rPr>
          <w:rFonts w:ascii="宋体" w:hAnsi="宋体"/>
          <w:szCs w:val="21"/>
        </w:rPr>
        <w:t>，</w:t>
      </w:r>
      <w:r>
        <w:rPr>
          <w:rFonts w:hint="eastAsia" w:ascii="宋体" w:hAnsi="宋体"/>
          <w:szCs w:val="21"/>
        </w:rPr>
        <w:t>标识</w:t>
      </w:r>
      <w:r>
        <w:rPr>
          <w:rFonts w:ascii="宋体" w:hAnsi="宋体"/>
          <w:szCs w:val="21"/>
        </w:rPr>
        <w:t>清楚</w:t>
      </w:r>
      <w:r>
        <w:rPr>
          <w:rFonts w:hint="eastAsia" w:ascii="宋体" w:hAnsi="宋体"/>
          <w:szCs w:val="21"/>
        </w:rPr>
        <w:t>，</w:t>
      </w:r>
      <w:r>
        <w:rPr>
          <w:rFonts w:ascii="宋体" w:hAnsi="宋体"/>
          <w:szCs w:val="21"/>
        </w:rPr>
        <w:t>捆扎牢固。</w:t>
      </w:r>
    </w:p>
    <w:p>
      <w:pPr>
        <w:overflowPunct w:val="0"/>
        <w:topLinePunct/>
        <w:adjustRightInd w:val="0"/>
        <w:snapToGrid w:val="0"/>
        <w:spacing w:line="360" w:lineRule="auto"/>
        <w:ind w:firstLine="420" w:firstLineChars="200"/>
        <w:rPr>
          <w:rFonts w:ascii="宋体" w:hAnsi="宋体"/>
          <w:szCs w:val="21"/>
        </w:rPr>
      </w:pPr>
      <w:r>
        <w:rPr>
          <w:rFonts w:hint="eastAsia" w:ascii="宋体" w:hAnsi="宋体"/>
          <w:szCs w:val="21"/>
        </w:rPr>
        <w:t>桩体内元器件应</w:t>
      </w:r>
      <w:r>
        <w:rPr>
          <w:rFonts w:ascii="宋体" w:hAnsi="宋体"/>
          <w:szCs w:val="21"/>
        </w:rPr>
        <w:t>布局</w:t>
      </w:r>
      <w:r>
        <w:rPr>
          <w:rFonts w:hint="eastAsia" w:ascii="宋体" w:hAnsi="宋体"/>
          <w:szCs w:val="21"/>
        </w:rPr>
        <w:t>合理，易耗</w:t>
      </w:r>
      <w:r>
        <w:rPr>
          <w:rFonts w:ascii="宋体" w:hAnsi="宋体"/>
          <w:szCs w:val="21"/>
        </w:rPr>
        <w:t>易损元件</w:t>
      </w:r>
      <w:r>
        <w:rPr>
          <w:rFonts w:hint="eastAsia" w:ascii="宋体" w:hAnsi="宋体"/>
          <w:szCs w:val="21"/>
        </w:rPr>
        <w:t>方便</w:t>
      </w:r>
      <w:r>
        <w:rPr>
          <w:rFonts w:ascii="宋体" w:hAnsi="宋体"/>
          <w:szCs w:val="21"/>
        </w:rPr>
        <w:t>更换。</w:t>
      </w:r>
    </w:p>
    <w:p>
      <w:pPr>
        <w:overflowPunct w:val="0"/>
        <w:topLinePunct/>
        <w:adjustRightInd w:val="0"/>
        <w:snapToGrid w:val="0"/>
        <w:spacing w:line="360" w:lineRule="auto"/>
        <w:ind w:firstLine="420" w:firstLineChars="200"/>
        <w:rPr>
          <w:rFonts w:ascii="宋体" w:hAnsi="宋体"/>
          <w:szCs w:val="21"/>
        </w:rPr>
      </w:pPr>
      <w:r>
        <w:rPr>
          <w:rFonts w:hint="eastAsia" w:ascii="宋体" w:hAnsi="宋体"/>
          <w:szCs w:val="21"/>
        </w:rPr>
        <w:t>桩体安装</w:t>
      </w:r>
      <w:r>
        <w:rPr>
          <w:rFonts w:ascii="宋体" w:hAnsi="宋体"/>
          <w:szCs w:val="21"/>
        </w:rPr>
        <w:t>于户外时，应</w:t>
      </w:r>
      <w:r>
        <w:rPr>
          <w:rFonts w:hint="eastAsia" w:ascii="宋体" w:hAnsi="宋体"/>
          <w:szCs w:val="21"/>
        </w:rPr>
        <w:t>便于特殊</w:t>
      </w:r>
      <w:r>
        <w:rPr>
          <w:rFonts w:ascii="宋体" w:hAnsi="宋体"/>
          <w:szCs w:val="21"/>
        </w:rPr>
        <w:t>天气条件下的</w:t>
      </w:r>
      <w:r>
        <w:rPr>
          <w:rFonts w:hint="eastAsia" w:ascii="宋体" w:hAnsi="宋体"/>
          <w:szCs w:val="21"/>
        </w:rPr>
        <w:t>日常</w:t>
      </w:r>
      <w:r>
        <w:rPr>
          <w:rFonts w:ascii="宋体" w:hAnsi="宋体"/>
          <w:szCs w:val="21"/>
        </w:rPr>
        <w:t>维护。</w:t>
      </w:r>
    </w:p>
    <w:p>
      <w:pPr>
        <w:overflowPunct w:val="0"/>
        <w:topLinePunct/>
        <w:adjustRightInd w:val="0"/>
        <w:snapToGrid w:val="0"/>
        <w:spacing w:line="360" w:lineRule="auto"/>
        <w:ind w:firstLine="420" w:firstLineChars="200"/>
        <w:rPr>
          <w:rFonts w:ascii="宋体" w:hAnsi="宋体"/>
          <w:szCs w:val="21"/>
        </w:rPr>
      </w:pPr>
      <w:r>
        <w:rPr>
          <w:rFonts w:hint="eastAsia" w:ascii="宋体" w:hAnsi="宋体"/>
          <w:szCs w:val="21"/>
        </w:rPr>
        <w:t>桩体应采用抗冲击力强、抗老化的材质。</w:t>
      </w:r>
    </w:p>
    <w:p>
      <w:pPr>
        <w:overflowPunct w:val="0"/>
        <w:topLinePunct/>
        <w:adjustRightInd w:val="0"/>
        <w:snapToGrid w:val="0"/>
        <w:spacing w:line="360" w:lineRule="auto"/>
        <w:ind w:firstLine="420" w:firstLineChars="200"/>
        <w:rPr>
          <w:rFonts w:ascii="宋体" w:hAnsi="宋体"/>
          <w:szCs w:val="21"/>
        </w:rPr>
      </w:pPr>
      <w:r>
        <w:rPr>
          <w:rFonts w:hint="eastAsia" w:ascii="宋体" w:hAnsi="宋体"/>
          <w:szCs w:val="21"/>
        </w:rPr>
        <w:t>桩体表面涂覆色泽层应均匀光洁，不起泡、不龟裂、不脱落。</w:t>
      </w:r>
    </w:p>
    <w:p>
      <w:pPr>
        <w:overflowPunct w:val="0"/>
        <w:topLinePunct/>
        <w:adjustRightInd w:val="0"/>
        <w:snapToGrid w:val="0"/>
        <w:spacing w:line="360" w:lineRule="auto"/>
        <w:ind w:firstLine="420" w:firstLineChars="200"/>
        <w:rPr>
          <w:rFonts w:ascii="宋体" w:hAnsi="宋体"/>
          <w:szCs w:val="21"/>
        </w:rPr>
      </w:pPr>
      <w:r>
        <w:rPr>
          <w:rFonts w:hint="eastAsia" w:ascii="宋体" w:hAnsi="宋体"/>
          <w:szCs w:val="21"/>
        </w:rPr>
        <w:t>桩体结构设计及安装应具备防盗能力。</w:t>
      </w:r>
    </w:p>
    <w:p>
      <w:pPr>
        <w:overflowPunct w:val="0"/>
        <w:topLinePunct/>
        <w:adjustRightInd w:val="0"/>
        <w:snapToGrid w:val="0"/>
        <w:spacing w:line="360" w:lineRule="auto"/>
        <w:ind w:firstLine="420" w:firstLineChars="200"/>
        <w:rPr>
          <w:rFonts w:ascii="宋体" w:hAnsi="宋体"/>
          <w:szCs w:val="21"/>
        </w:rPr>
      </w:pPr>
      <w:r>
        <w:rPr>
          <w:rFonts w:hint="eastAsia" w:ascii="宋体" w:hAnsi="宋体"/>
          <w:szCs w:val="21"/>
        </w:rPr>
        <w:t>非绝缘材料外壳应可靠接地，结构上应防止操作人员触及带电部件。</w:t>
      </w:r>
    </w:p>
    <w:p>
      <w:pPr>
        <w:overflowPunct w:val="0"/>
        <w:topLinePunct/>
        <w:adjustRightInd w:val="0"/>
        <w:snapToGrid w:val="0"/>
        <w:spacing w:line="360" w:lineRule="auto"/>
        <w:ind w:firstLine="420" w:firstLineChars="200"/>
        <w:rPr>
          <w:rFonts w:ascii="宋体" w:hAnsi="宋体"/>
          <w:szCs w:val="21"/>
        </w:rPr>
      </w:pPr>
      <w:r>
        <w:rPr>
          <w:rFonts w:hint="eastAsia" w:ascii="宋体" w:hAnsi="宋体"/>
          <w:szCs w:val="21"/>
        </w:rPr>
        <w:t>人机交互的操作按键或显示界面应设置在便于人操作和查看的位置。</w:t>
      </w:r>
    </w:p>
    <w:p>
      <w:pPr>
        <w:tabs>
          <w:tab w:val="left" w:pos="525"/>
          <w:tab w:val="left" w:pos="1140"/>
        </w:tabs>
        <w:adjustRightInd w:val="0"/>
        <w:snapToGrid w:val="0"/>
        <w:spacing w:line="360" w:lineRule="auto"/>
        <w:rPr>
          <w:rFonts w:ascii="宋体" w:hAnsi="宋体"/>
          <w:b/>
          <w:szCs w:val="21"/>
        </w:rPr>
      </w:pPr>
      <w:bookmarkStart w:id="573" w:name="_Toc387646189"/>
      <w:bookmarkStart w:id="574" w:name="_Toc428997287"/>
      <w:bookmarkStart w:id="575" w:name="_Toc411176425"/>
      <w:r>
        <w:rPr>
          <w:rFonts w:hint="eastAsia" w:ascii="宋体" w:hAnsi="宋体"/>
          <w:b/>
          <w:szCs w:val="21"/>
        </w:rPr>
        <w:t>（2）可靠性指标</w:t>
      </w:r>
      <w:bookmarkEnd w:id="573"/>
      <w:bookmarkEnd w:id="574"/>
      <w:bookmarkEnd w:id="575"/>
    </w:p>
    <w:p>
      <w:pPr>
        <w:overflowPunct w:val="0"/>
        <w:topLinePunct/>
        <w:adjustRightInd w:val="0"/>
        <w:snapToGrid w:val="0"/>
        <w:spacing w:line="360" w:lineRule="auto"/>
        <w:ind w:firstLine="420" w:firstLineChars="200"/>
        <w:rPr>
          <w:rFonts w:ascii="宋体" w:hAnsi="宋体"/>
          <w:szCs w:val="21"/>
        </w:rPr>
      </w:pPr>
      <w:r>
        <w:rPr>
          <w:rFonts w:hint="eastAsia" w:ascii="宋体" w:hAnsi="宋体"/>
          <w:szCs w:val="21"/>
        </w:rPr>
        <w:t>交流充电桩平均故障间隔时间（MTBF）应大于等于</w:t>
      </w:r>
      <w:r>
        <w:rPr>
          <w:rFonts w:ascii="宋体" w:hAnsi="宋体"/>
          <w:szCs w:val="21"/>
        </w:rPr>
        <w:t>10000</w:t>
      </w:r>
      <w:r>
        <w:rPr>
          <w:rFonts w:hint="eastAsia" w:ascii="宋体" w:hAnsi="宋体"/>
          <w:szCs w:val="21"/>
        </w:rPr>
        <w:t>h。</w:t>
      </w:r>
    </w:p>
    <w:p>
      <w:pPr>
        <w:keepNext/>
        <w:keepLines/>
        <w:spacing w:before="20" w:after="20" w:line="415" w:lineRule="auto"/>
        <w:ind w:firstLine="102" w:firstLineChars="49"/>
        <w:outlineLvl w:val="2"/>
        <w:rPr>
          <w:rFonts w:ascii="宋体" w:hAnsi="宋体"/>
          <w:szCs w:val="21"/>
        </w:rPr>
      </w:pPr>
      <w:r>
        <w:rPr>
          <w:rFonts w:hint="eastAsia" w:ascii="宋体" w:hAnsi="宋体"/>
          <w:szCs w:val="21"/>
        </w:rPr>
        <w:t>1.5</w:t>
      </w:r>
      <w:r>
        <w:rPr>
          <w:rFonts w:ascii="宋体" w:hAnsi="宋体"/>
          <w:szCs w:val="21"/>
        </w:rPr>
        <w:t>标准技术参数表</w:t>
      </w:r>
    </w:p>
    <w:tbl>
      <w:tblPr>
        <w:tblStyle w:val="50"/>
        <w:tblW w:w="8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11"/>
        <w:gridCol w:w="778"/>
        <w:gridCol w:w="3119"/>
        <w:gridCol w:w="647"/>
        <w:gridCol w:w="3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blHeader/>
          <w:jc w:val="center"/>
        </w:trPr>
        <w:tc>
          <w:tcPr>
            <w:tcW w:w="511" w:type="dxa"/>
            <w:vAlign w:val="center"/>
          </w:tcPr>
          <w:p>
            <w:pPr>
              <w:topLinePunct/>
              <w:adjustRightInd w:val="0"/>
              <w:snapToGrid w:val="0"/>
              <w:jc w:val="center"/>
              <w:rPr>
                <w:rFonts w:ascii="宋体" w:hAnsi="宋体"/>
                <w:b/>
                <w:szCs w:val="21"/>
              </w:rPr>
            </w:pPr>
            <w:r>
              <w:rPr>
                <w:rFonts w:hint="eastAsia" w:ascii="宋体" w:hAnsi="宋体"/>
                <w:b/>
                <w:szCs w:val="21"/>
              </w:rPr>
              <w:t>序号</w:t>
            </w:r>
          </w:p>
        </w:tc>
        <w:tc>
          <w:tcPr>
            <w:tcW w:w="778" w:type="dxa"/>
            <w:vAlign w:val="center"/>
          </w:tcPr>
          <w:p>
            <w:pPr>
              <w:topLinePunct/>
              <w:adjustRightInd w:val="0"/>
              <w:snapToGrid w:val="0"/>
              <w:jc w:val="center"/>
              <w:rPr>
                <w:rFonts w:ascii="宋体" w:hAnsi="宋体"/>
                <w:b/>
                <w:szCs w:val="21"/>
              </w:rPr>
            </w:pPr>
            <w:r>
              <w:rPr>
                <w:rFonts w:hint="eastAsia" w:ascii="宋体" w:hAnsi="宋体"/>
                <w:b/>
                <w:szCs w:val="21"/>
              </w:rPr>
              <w:t>名称</w:t>
            </w:r>
          </w:p>
        </w:tc>
        <w:tc>
          <w:tcPr>
            <w:tcW w:w="3119" w:type="dxa"/>
            <w:tcMar>
              <w:left w:w="57" w:type="dxa"/>
              <w:right w:w="57" w:type="dxa"/>
            </w:tcMar>
            <w:vAlign w:val="center"/>
          </w:tcPr>
          <w:p>
            <w:pPr>
              <w:topLinePunct/>
              <w:adjustRightInd w:val="0"/>
              <w:snapToGrid w:val="0"/>
              <w:jc w:val="center"/>
              <w:rPr>
                <w:rFonts w:ascii="宋体" w:hAnsi="宋体"/>
                <w:b/>
                <w:szCs w:val="21"/>
              </w:rPr>
            </w:pPr>
            <w:r>
              <w:rPr>
                <w:rFonts w:hint="eastAsia" w:ascii="宋体" w:hAnsi="宋体"/>
                <w:b/>
                <w:szCs w:val="21"/>
              </w:rPr>
              <w:t>项</w:t>
            </w:r>
            <w:r>
              <w:rPr>
                <w:rFonts w:ascii="宋体" w:hAnsi="宋体"/>
                <w:b/>
                <w:szCs w:val="21"/>
              </w:rPr>
              <w:t xml:space="preserve">      </w:t>
            </w:r>
            <w:r>
              <w:rPr>
                <w:rFonts w:hint="eastAsia" w:ascii="宋体" w:hAnsi="宋体"/>
                <w:b/>
                <w:szCs w:val="21"/>
              </w:rPr>
              <w:t>目</w:t>
            </w:r>
          </w:p>
        </w:tc>
        <w:tc>
          <w:tcPr>
            <w:tcW w:w="647" w:type="dxa"/>
            <w:tcMar>
              <w:left w:w="57" w:type="dxa"/>
              <w:right w:w="57" w:type="dxa"/>
            </w:tcMar>
            <w:vAlign w:val="center"/>
          </w:tcPr>
          <w:p>
            <w:pPr>
              <w:topLinePunct/>
              <w:adjustRightInd w:val="0"/>
              <w:snapToGrid w:val="0"/>
              <w:jc w:val="center"/>
              <w:rPr>
                <w:rFonts w:ascii="宋体" w:hAnsi="宋体"/>
                <w:b/>
                <w:szCs w:val="21"/>
              </w:rPr>
            </w:pPr>
            <w:r>
              <w:rPr>
                <w:rFonts w:hint="eastAsia" w:ascii="宋体" w:hAnsi="宋体"/>
                <w:b/>
                <w:szCs w:val="21"/>
              </w:rPr>
              <w:t>单位</w:t>
            </w:r>
          </w:p>
        </w:tc>
        <w:tc>
          <w:tcPr>
            <w:tcW w:w="3365" w:type="dxa"/>
            <w:tcMar>
              <w:left w:w="57" w:type="dxa"/>
              <w:right w:w="57" w:type="dxa"/>
            </w:tcMar>
            <w:vAlign w:val="center"/>
          </w:tcPr>
          <w:p>
            <w:pPr>
              <w:topLinePunct/>
              <w:adjustRightInd w:val="0"/>
              <w:snapToGrid w:val="0"/>
              <w:jc w:val="center"/>
              <w:rPr>
                <w:rFonts w:ascii="宋体" w:hAnsi="宋体"/>
                <w:szCs w:val="21"/>
              </w:rPr>
            </w:pPr>
            <w:r>
              <w:rPr>
                <w:rFonts w:hint="eastAsia" w:ascii="宋体" w:hAnsi="宋体"/>
                <w:b/>
                <w:szCs w:val="21"/>
              </w:rPr>
              <w:t>标准参数值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511" w:type="dxa"/>
            <w:vAlign w:val="center"/>
          </w:tcPr>
          <w:p>
            <w:pPr>
              <w:topLinePunct/>
              <w:adjustRightInd w:val="0"/>
              <w:snapToGrid w:val="0"/>
              <w:jc w:val="center"/>
              <w:rPr>
                <w:rFonts w:ascii="宋体" w:hAnsi="宋体"/>
                <w:szCs w:val="21"/>
              </w:rPr>
            </w:pPr>
            <w:r>
              <w:rPr>
                <w:rFonts w:ascii="宋体" w:hAnsi="宋体"/>
                <w:szCs w:val="21"/>
              </w:rPr>
              <w:t>1</w:t>
            </w:r>
          </w:p>
        </w:tc>
        <w:tc>
          <w:tcPr>
            <w:tcW w:w="778" w:type="dxa"/>
            <w:vMerge w:val="restart"/>
            <w:tcMar>
              <w:left w:w="57" w:type="dxa"/>
              <w:right w:w="57" w:type="dxa"/>
            </w:tcMar>
            <w:vAlign w:val="center"/>
          </w:tcPr>
          <w:p>
            <w:pPr>
              <w:topLinePunct/>
              <w:adjustRightInd w:val="0"/>
              <w:snapToGrid w:val="0"/>
              <w:jc w:val="center"/>
              <w:rPr>
                <w:rFonts w:ascii="宋体" w:hAnsi="宋体"/>
                <w:szCs w:val="21"/>
              </w:rPr>
            </w:pPr>
            <w:r>
              <w:rPr>
                <w:rFonts w:hint="eastAsia" w:ascii="宋体" w:hAnsi="宋体"/>
                <w:szCs w:val="21"/>
              </w:rPr>
              <w:t>交流充电桩</w:t>
            </w:r>
          </w:p>
        </w:tc>
        <w:tc>
          <w:tcPr>
            <w:tcW w:w="3119" w:type="dxa"/>
            <w:tcMar>
              <w:left w:w="57" w:type="dxa"/>
              <w:right w:w="57" w:type="dxa"/>
            </w:tcMar>
            <w:vAlign w:val="center"/>
          </w:tcPr>
          <w:p>
            <w:pPr>
              <w:topLinePunct/>
              <w:adjustRightInd w:val="0"/>
              <w:snapToGrid w:val="0"/>
              <w:jc w:val="center"/>
              <w:rPr>
                <w:rFonts w:ascii="宋体" w:hAnsi="宋体"/>
                <w:szCs w:val="21"/>
              </w:rPr>
            </w:pPr>
            <w:r>
              <w:rPr>
                <w:rFonts w:hint="eastAsia" w:ascii="宋体" w:hAnsi="宋体"/>
                <w:szCs w:val="21"/>
              </w:rPr>
              <w:t>交流输入</w:t>
            </w:r>
            <w:r>
              <w:rPr>
                <w:rFonts w:ascii="宋体" w:hAnsi="宋体"/>
                <w:szCs w:val="21"/>
              </w:rPr>
              <w:t>电压</w:t>
            </w:r>
          </w:p>
        </w:tc>
        <w:tc>
          <w:tcPr>
            <w:tcW w:w="647" w:type="dxa"/>
            <w:tcMar>
              <w:left w:w="57" w:type="dxa"/>
              <w:right w:w="57" w:type="dxa"/>
            </w:tcMar>
            <w:vAlign w:val="center"/>
          </w:tcPr>
          <w:p>
            <w:pPr>
              <w:topLinePunct/>
              <w:adjustRightInd w:val="0"/>
              <w:snapToGrid w:val="0"/>
              <w:jc w:val="center"/>
              <w:rPr>
                <w:rFonts w:ascii="宋体" w:hAnsi="宋体"/>
                <w:szCs w:val="21"/>
              </w:rPr>
            </w:pPr>
            <w:r>
              <w:rPr>
                <w:rFonts w:hint="eastAsia" w:ascii="宋体" w:hAnsi="宋体"/>
                <w:szCs w:val="21"/>
              </w:rPr>
              <w:t>V</w:t>
            </w:r>
          </w:p>
        </w:tc>
        <w:tc>
          <w:tcPr>
            <w:tcW w:w="3365" w:type="dxa"/>
            <w:tcMar>
              <w:left w:w="57" w:type="dxa"/>
              <w:right w:w="57" w:type="dxa"/>
            </w:tcMar>
            <w:vAlign w:val="center"/>
          </w:tcPr>
          <w:p>
            <w:pPr>
              <w:topLinePunct/>
              <w:adjustRightInd w:val="0"/>
              <w:snapToGrid w:val="0"/>
              <w:jc w:val="center"/>
              <w:rPr>
                <w:rFonts w:ascii="宋体" w:hAnsi="宋体"/>
                <w:szCs w:val="21"/>
              </w:rPr>
            </w:pPr>
            <w:r>
              <w:rPr>
                <w:rFonts w:hint="eastAsia" w:ascii="宋体" w:hAnsi="宋体"/>
                <w:szCs w:val="21"/>
              </w:rPr>
              <w:t>单相220：</w:t>
            </w:r>
            <w:r>
              <w:rPr>
                <w:rFonts w:ascii="宋体" w:hAnsi="宋体"/>
                <w:szCs w:val="21"/>
              </w:rPr>
              <w:t>187</w:t>
            </w:r>
            <w:r>
              <w:rPr>
                <w:rFonts w:hint="eastAsia" w:ascii="宋体" w:hAnsi="宋体"/>
                <w:szCs w:val="21"/>
              </w:rPr>
              <w:t>～</w:t>
            </w:r>
            <w:r>
              <w:rPr>
                <w:rFonts w:ascii="宋体" w:hAnsi="宋体"/>
                <w:szCs w:val="21"/>
              </w:rPr>
              <w:t>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511" w:type="dxa"/>
            <w:vAlign w:val="center"/>
          </w:tcPr>
          <w:p>
            <w:pPr>
              <w:topLinePunct/>
              <w:adjustRightInd w:val="0"/>
              <w:snapToGrid w:val="0"/>
              <w:jc w:val="center"/>
              <w:rPr>
                <w:rFonts w:ascii="宋体" w:hAnsi="宋体"/>
                <w:szCs w:val="21"/>
              </w:rPr>
            </w:pPr>
            <w:r>
              <w:rPr>
                <w:rFonts w:ascii="宋体" w:hAnsi="宋体"/>
                <w:szCs w:val="21"/>
              </w:rPr>
              <w:t>2</w:t>
            </w:r>
          </w:p>
        </w:tc>
        <w:tc>
          <w:tcPr>
            <w:tcW w:w="778" w:type="dxa"/>
            <w:vMerge w:val="continue"/>
            <w:tcMar>
              <w:left w:w="57" w:type="dxa"/>
              <w:right w:w="57" w:type="dxa"/>
            </w:tcMar>
            <w:vAlign w:val="center"/>
          </w:tcPr>
          <w:p>
            <w:pPr>
              <w:topLinePunct/>
              <w:adjustRightInd w:val="0"/>
              <w:snapToGrid w:val="0"/>
              <w:jc w:val="center"/>
              <w:rPr>
                <w:rFonts w:ascii="宋体" w:hAnsi="宋体"/>
                <w:szCs w:val="21"/>
              </w:rPr>
            </w:pPr>
          </w:p>
        </w:tc>
        <w:tc>
          <w:tcPr>
            <w:tcW w:w="3119" w:type="dxa"/>
            <w:tcMar>
              <w:left w:w="57" w:type="dxa"/>
              <w:right w:w="57" w:type="dxa"/>
            </w:tcMar>
            <w:vAlign w:val="center"/>
          </w:tcPr>
          <w:p>
            <w:pPr>
              <w:topLinePunct/>
              <w:adjustRightInd w:val="0"/>
              <w:snapToGrid w:val="0"/>
              <w:jc w:val="center"/>
              <w:rPr>
                <w:rFonts w:ascii="宋体" w:hAnsi="宋体"/>
                <w:szCs w:val="21"/>
              </w:rPr>
            </w:pPr>
            <w:r>
              <w:rPr>
                <w:rFonts w:hint="eastAsia" w:ascii="宋体" w:hAnsi="宋体"/>
                <w:szCs w:val="21"/>
              </w:rPr>
              <w:t>交流电源频率</w:t>
            </w:r>
          </w:p>
        </w:tc>
        <w:tc>
          <w:tcPr>
            <w:tcW w:w="647" w:type="dxa"/>
            <w:tcMar>
              <w:left w:w="57" w:type="dxa"/>
              <w:right w:w="57" w:type="dxa"/>
            </w:tcMar>
            <w:vAlign w:val="center"/>
          </w:tcPr>
          <w:p>
            <w:pPr>
              <w:topLinePunct/>
              <w:adjustRightInd w:val="0"/>
              <w:snapToGrid w:val="0"/>
              <w:jc w:val="center"/>
              <w:rPr>
                <w:rFonts w:ascii="宋体" w:hAnsi="宋体"/>
                <w:szCs w:val="21"/>
              </w:rPr>
            </w:pPr>
            <w:r>
              <w:rPr>
                <w:rFonts w:ascii="宋体" w:hAnsi="宋体"/>
                <w:szCs w:val="21"/>
              </w:rPr>
              <w:t>H</w:t>
            </w:r>
            <w:r>
              <w:rPr>
                <w:rFonts w:hint="eastAsia" w:ascii="宋体" w:hAnsi="宋体"/>
                <w:szCs w:val="21"/>
              </w:rPr>
              <w:t>z</w:t>
            </w:r>
          </w:p>
        </w:tc>
        <w:tc>
          <w:tcPr>
            <w:tcW w:w="3365" w:type="dxa"/>
            <w:tcMar>
              <w:left w:w="57" w:type="dxa"/>
              <w:right w:w="57" w:type="dxa"/>
            </w:tcMar>
            <w:vAlign w:val="center"/>
          </w:tcPr>
          <w:p>
            <w:pPr>
              <w:topLinePunct/>
              <w:adjustRightInd w:val="0"/>
              <w:snapToGrid w:val="0"/>
              <w:jc w:val="center"/>
              <w:rPr>
                <w:rFonts w:ascii="宋体" w:hAnsi="宋体"/>
                <w:szCs w:val="21"/>
              </w:rPr>
            </w:pPr>
            <w:r>
              <w:rPr>
                <w:rFonts w:hint="eastAsia" w:ascii="宋体" w:hAnsi="宋体"/>
                <w:kern w:val="0"/>
                <w:szCs w:val="21"/>
                <w:lang w:val="zh-CN"/>
              </w:rPr>
              <w:t>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511" w:type="dxa"/>
            <w:vAlign w:val="center"/>
          </w:tcPr>
          <w:p>
            <w:pPr>
              <w:topLinePunct/>
              <w:adjustRightInd w:val="0"/>
              <w:snapToGrid w:val="0"/>
              <w:jc w:val="center"/>
              <w:rPr>
                <w:rFonts w:ascii="宋体" w:hAnsi="宋体"/>
                <w:szCs w:val="21"/>
              </w:rPr>
            </w:pPr>
            <w:r>
              <w:rPr>
                <w:rFonts w:hint="eastAsia" w:ascii="宋体" w:hAnsi="宋体"/>
                <w:szCs w:val="21"/>
              </w:rPr>
              <w:t>3</w:t>
            </w:r>
          </w:p>
        </w:tc>
        <w:tc>
          <w:tcPr>
            <w:tcW w:w="778" w:type="dxa"/>
            <w:vMerge w:val="continue"/>
            <w:tcMar>
              <w:left w:w="57" w:type="dxa"/>
              <w:right w:w="57" w:type="dxa"/>
            </w:tcMar>
            <w:vAlign w:val="center"/>
          </w:tcPr>
          <w:p>
            <w:pPr>
              <w:topLinePunct/>
              <w:adjustRightInd w:val="0"/>
              <w:snapToGrid w:val="0"/>
              <w:jc w:val="center"/>
              <w:rPr>
                <w:rFonts w:ascii="宋体" w:hAnsi="宋体"/>
                <w:szCs w:val="21"/>
              </w:rPr>
            </w:pPr>
          </w:p>
        </w:tc>
        <w:tc>
          <w:tcPr>
            <w:tcW w:w="3119" w:type="dxa"/>
            <w:tcMar>
              <w:left w:w="57" w:type="dxa"/>
              <w:right w:w="57" w:type="dxa"/>
            </w:tcMar>
            <w:vAlign w:val="center"/>
          </w:tcPr>
          <w:p>
            <w:pPr>
              <w:topLinePunct/>
              <w:adjustRightInd w:val="0"/>
              <w:snapToGrid w:val="0"/>
              <w:jc w:val="center"/>
              <w:rPr>
                <w:rFonts w:ascii="宋体" w:hAnsi="宋体"/>
                <w:szCs w:val="21"/>
              </w:rPr>
            </w:pPr>
            <w:r>
              <w:rPr>
                <w:rFonts w:hint="eastAsia" w:ascii="宋体" w:hAnsi="宋体"/>
                <w:szCs w:val="21"/>
              </w:rPr>
              <w:t>输出功率</w:t>
            </w:r>
          </w:p>
        </w:tc>
        <w:tc>
          <w:tcPr>
            <w:tcW w:w="647" w:type="dxa"/>
            <w:tcMar>
              <w:left w:w="57" w:type="dxa"/>
              <w:right w:w="57" w:type="dxa"/>
            </w:tcMar>
            <w:vAlign w:val="center"/>
          </w:tcPr>
          <w:p>
            <w:pPr>
              <w:topLinePunct/>
              <w:adjustRightInd w:val="0"/>
              <w:snapToGrid w:val="0"/>
              <w:jc w:val="center"/>
              <w:rPr>
                <w:rFonts w:ascii="宋体" w:hAnsi="宋体"/>
                <w:szCs w:val="21"/>
              </w:rPr>
            </w:pPr>
            <w:r>
              <w:rPr>
                <w:rFonts w:hint="eastAsia" w:ascii="宋体" w:hAnsi="宋体"/>
                <w:szCs w:val="21"/>
              </w:rPr>
              <w:t>KW</w:t>
            </w:r>
          </w:p>
        </w:tc>
        <w:tc>
          <w:tcPr>
            <w:tcW w:w="3365" w:type="dxa"/>
            <w:tcMar>
              <w:left w:w="57" w:type="dxa"/>
              <w:right w:w="57" w:type="dxa"/>
            </w:tcMar>
            <w:vAlign w:val="center"/>
          </w:tcPr>
          <w:p>
            <w:pPr>
              <w:topLinePunct/>
              <w:adjustRightInd w:val="0"/>
              <w:snapToGrid w:val="0"/>
              <w:jc w:val="center"/>
              <w:rPr>
                <w:rFonts w:ascii="宋体" w:hAnsi="宋体"/>
                <w:kern w:val="0"/>
                <w:szCs w:val="21"/>
                <w:lang w:val="zh-CN"/>
              </w:rPr>
            </w:pPr>
            <w:r>
              <w:rPr>
                <w:rFonts w:hint="eastAsia" w:ascii="宋体" w:hAnsi="宋体"/>
                <w:kern w:val="0"/>
                <w:szCs w:val="21"/>
                <w:lang w:val="zh-CN"/>
              </w:rPr>
              <w:t>7</w:t>
            </w:r>
            <w:r>
              <w:rPr>
                <w:rFonts w:ascii="宋体" w:hAnsi="宋体"/>
                <w:kern w:val="0"/>
                <w:szCs w:val="21"/>
                <w:lang w:val="zh-CN"/>
              </w:rPr>
              <w:t>k</w:t>
            </w:r>
            <w:r>
              <w:rPr>
                <w:rFonts w:hint="eastAsia" w:ascii="宋体" w:hAnsi="宋体"/>
                <w:kern w:val="0"/>
                <w:szCs w:val="21"/>
                <w:lang w:val="zh-CN"/>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511" w:type="dxa"/>
            <w:vAlign w:val="center"/>
          </w:tcPr>
          <w:p>
            <w:pPr>
              <w:topLinePunct/>
              <w:adjustRightInd w:val="0"/>
              <w:snapToGrid w:val="0"/>
              <w:jc w:val="center"/>
              <w:rPr>
                <w:rFonts w:ascii="宋体" w:hAnsi="宋体"/>
                <w:szCs w:val="21"/>
              </w:rPr>
            </w:pPr>
            <w:r>
              <w:rPr>
                <w:rFonts w:hint="eastAsia" w:ascii="宋体" w:hAnsi="宋体"/>
                <w:szCs w:val="21"/>
              </w:rPr>
              <w:t>4</w:t>
            </w:r>
          </w:p>
        </w:tc>
        <w:tc>
          <w:tcPr>
            <w:tcW w:w="778" w:type="dxa"/>
            <w:vMerge w:val="continue"/>
            <w:tcMar>
              <w:left w:w="57" w:type="dxa"/>
              <w:right w:w="57" w:type="dxa"/>
            </w:tcMar>
            <w:vAlign w:val="center"/>
          </w:tcPr>
          <w:p>
            <w:pPr>
              <w:topLinePunct/>
              <w:adjustRightInd w:val="0"/>
              <w:snapToGrid w:val="0"/>
              <w:jc w:val="center"/>
              <w:rPr>
                <w:rFonts w:ascii="宋体" w:hAnsi="宋体"/>
                <w:szCs w:val="21"/>
              </w:rPr>
            </w:pPr>
          </w:p>
        </w:tc>
        <w:tc>
          <w:tcPr>
            <w:tcW w:w="3119" w:type="dxa"/>
            <w:tcMar>
              <w:left w:w="57" w:type="dxa"/>
              <w:right w:w="57" w:type="dxa"/>
            </w:tcMar>
            <w:vAlign w:val="center"/>
          </w:tcPr>
          <w:p>
            <w:pPr>
              <w:topLinePunct/>
              <w:adjustRightInd w:val="0"/>
              <w:snapToGrid w:val="0"/>
              <w:jc w:val="center"/>
              <w:rPr>
                <w:rFonts w:ascii="宋体" w:hAnsi="宋体"/>
                <w:szCs w:val="21"/>
              </w:rPr>
            </w:pPr>
            <w:r>
              <w:rPr>
                <w:rFonts w:hint="eastAsia" w:ascii="宋体" w:hAnsi="宋体"/>
                <w:szCs w:val="21"/>
              </w:rPr>
              <w:t>输出额定电流</w:t>
            </w:r>
          </w:p>
        </w:tc>
        <w:tc>
          <w:tcPr>
            <w:tcW w:w="647" w:type="dxa"/>
            <w:tcMar>
              <w:left w:w="57" w:type="dxa"/>
              <w:right w:w="57" w:type="dxa"/>
            </w:tcMar>
            <w:vAlign w:val="center"/>
          </w:tcPr>
          <w:p>
            <w:pPr>
              <w:topLinePunct/>
              <w:adjustRightInd w:val="0"/>
              <w:snapToGrid w:val="0"/>
              <w:jc w:val="center"/>
              <w:rPr>
                <w:rFonts w:ascii="宋体" w:hAnsi="宋体"/>
                <w:szCs w:val="21"/>
              </w:rPr>
            </w:pPr>
            <w:r>
              <w:rPr>
                <w:rFonts w:hint="eastAsia" w:ascii="宋体" w:hAnsi="宋体"/>
                <w:szCs w:val="21"/>
              </w:rPr>
              <w:t>A</w:t>
            </w:r>
          </w:p>
        </w:tc>
        <w:tc>
          <w:tcPr>
            <w:tcW w:w="3365" w:type="dxa"/>
            <w:tcMar>
              <w:left w:w="57" w:type="dxa"/>
              <w:right w:w="57" w:type="dxa"/>
            </w:tcMar>
            <w:vAlign w:val="center"/>
          </w:tcPr>
          <w:p>
            <w:pPr>
              <w:topLinePunct/>
              <w:adjustRightInd w:val="0"/>
              <w:snapToGrid w:val="0"/>
              <w:jc w:val="center"/>
              <w:rPr>
                <w:rFonts w:ascii="宋体" w:hAnsi="宋体"/>
                <w:kern w:val="0"/>
                <w:szCs w:val="21"/>
                <w:lang w:val="zh-CN"/>
              </w:rPr>
            </w:pPr>
            <w:r>
              <w:rPr>
                <w:rFonts w:hint="eastAsia" w:ascii="宋体" w:hAnsi="宋体"/>
                <w:kern w:val="0"/>
                <w:szCs w:val="21"/>
                <w:lang w:val="zh-CN"/>
              </w:rPr>
              <w:t>32A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511" w:type="dxa"/>
            <w:vAlign w:val="center"/>
          </w:tcPr>
          <w:p>
            <w:pPr>
              <w:topLinePunct/>
              <w:adjustRightInd w:val="0"/>
              <w:snapToGrid w:val="0"/>
              <w:jc w:val="center"/>
              <w:rPr>
                <w:rFonts w:ascii="宋体" w:hAnsi="宋体"/>
                <w:szCs w:val="21"/>
              </w:rPr>
            </w:pPr>
            <w:r>
              <w:rPr>
                <w:rFonts w:hint="eastAsia" w:ascii="宋体" w:hAnsi="宋体"/>
                <w:szCs w:val="21"/>
              </w:rPr>
              <w:t>5</w:t>
            </w:r>
          </w:p>
        </w:tc>
        <w:tc>
          <w:tcPr>
            <w:tcW w:w="778" w:type="dxa"/>
            <w:vMerge w:val="continue"/>
            <w:tcMar>
              <w:left w:w="57" w:type="dxa"/>
              <w:right w:w="57" w:type="dxa"/>
            </w:tcMar>
            <w:vAlign w:val="center"/>
          </w:tcPr>
          <w:p>
            <w:pPr>
              <w:topLinePunct/>
              <w:adjustRightInd w:val="0"/>
              <w:snapToGrid w:val="0"/>
              <w:jc w:val="center"/>
              <w:rPr>
                <w:rFonts w:ascii="宋体" w:hAnsi="宋体"/>
                <w:szCs w:val="21"/>
              </w:rPr>
            </w:pPr>
          </w:p>
        </w:tc>
        <w:tc>
          <w:tcPr>
            <w:tcW w:w="3119" w:type="dxa"/>
            <w:tcMar>
              <w:left w:w="57" w:type="dxa"/>
              <w:right w:w="57" w:type="dxa"/>
            </w:tcMar>
            <w:vAlign w:val="center"/>
          </w:tcPr>
          <w:p>
            <w:pPr>
              <w:topLinePunct/>
              <w:adjustRightInd w:val="0"/>
              <w:snapToGrid w:val="0"/>
              <w:jc w:val="center"/>
              <w:rPr>
                <w:rFonts w:ascii="宋体" w:hAnsi="宋体"/>
                <w:szCs w:val="21"/>
              </w:rPr>
            </w:pPr>
            <w:r>
              <w:rPr>
                <w:rFonts w:hint="eastAsia" w:ascii="宋体" w:hAnsi="宋体"/>
                <w:szCs w:val="21"/>
              </w:rPr>
              <w:t>漏电保护装置</w:t>
            </w:r>
          </w:p>
        </w:tc>
        <w:tc>
          <w:tcPr>
            <w:tcW w:w="647" w:type="dxa"/>
            <w:tcMar>
              <w:left w:w="57" w:type="dxa"/>
              <w:right w:w="57" w:type="dxa"/>
            </w:tcMar>
            <w:vAlign w:val="center"/>
          </w:tcPr>
          <w:p>
            <w:pPr>
              <w:topLinePunct/>
              <w:adjustRightInd w:val="0"/>
              <w:snapToGrid w:val="0"/>
              <w:jc w:val="center"/>
              <w:rPr>
                <w:rFonts w:ascii="宋体" w:hAnsi="宋体"/>
                <w:szCs w:val="21"/>
              </w:rPr>
            </w:pPr>
            <w:r>
              <w:rPr>
                <w:rFonts w:hint="eastAsia" w:ascii="宋体" w:hAnsi="宋体"/>
                <w:szCs w:val="21"/>
              </w:rPr>
              <w:t>mA</w:t>
            </w:r>
          </w:p>
        </w:tc>
        <w:tc>
          <w:tcPr>
            <w:tcW w:w="3365" w:type="dxa"/>
            <w:tcMar>
              <w:left w:w="57" w:type="dxa"/>
              <w:right w:w="57" w:type="dxa"/>
            </w:tcMar>
            <w:vAlign w:val="center"/>
          </w:tcPr>
          <w:p>
            <w:pPr>
              <w:topLinePunct/>
              <w:adjustRightInd w:val="0"/>
              <w:snapToGrid w:val="0"/>
              <w:jc w:val="center"/>
              <w:rPr>
                <w:rFonts w:ascii="宋体" w:hAnsi="宋体"/>
                <w:kern w:val="0"/>
                <w:szCs w:val="21"/>
                <w:lang w:val="zh-CN"/>
              </w:rPr>
            </w:pPr>
            <w:r>
              <w:rPr>
                <w:rFonts w:hint="eastAsia" w:ascii="宋体" w:hAnsi="宋体"/>
                <w:kern w:val="0"/>
                <w:szCs w:val="21"/>
                <w:lang w:val="zh-CN"/>
              </w:rPr>
              <w:t>≤30（A型）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511" w:type="dxa"/>
            <w:vAlign w:val="center"/>
          </w:tcPr>
          <w:p>
            <w:pPr>
              <w:topLinePunct/>
              <w:adjustRightInd w:val="0"/>
              <w:snapToGrid w:val="0"/>
              <w:jc w:val="center"/>
              <w:rPr>
                <w:rFonts w:ascii="宋体" w:hAnsi="宋体"/>
                <w:szCs w:val="21"/>
              </w:rPr>
            </w:pPr>
            <w:r>
              <w:rPr>
                <w:rFonts w:hint="eastAsia" w:ascii="宋体" w:hAnsi="宋体"/>
                <w:szCs w:val="21"/>
              </w:rPr>
              <w:t>6</w:t>
            </w:r>
          </w:p>
        </w:tc>
        <w:tc>
          <w:tcPr>
            <w:tcW w:w="778" w:type="dxa"/>
            <w:vMerge w:val="continue"/>
            <w:tcMar>
              <w:left w:w="57" w:type="dxa"/>
              <w:right w:w="57" w:type="dxa"/>
            </w:tcMar>
            <w:vAlign w:val="center"/>
          </w:tcPr>
          <w:p>
            <w:pPr>
              <w:topLinePunct/>
              <w:adjustRightInd w:val="0"/>
              <w:snapToGrid w:val="0"/>
              <w:jc w:val="center"/>
              <w:rPr>
                <w:rFonts w:ascii="宋体" w:hAnsi="宋体"/>
                <w:szCs w:val="21"/>
              </w:rPr>
            </w:pPr>
          </w:p>
        </w:tc>
        <w:tc>
          <w:tcPr>
            <w:tcW w:w="3119" w:type="dxa"/>
            <w:tcMar>
              <w:left w:w="57" w:type="dxa"/>
              <w:right w:w="57" w:type="dxa"/>
            </w:tcMar>
            <w:vAlign w:val="center"/>
          </w:tcPr>
          <w:p>
            <w:pPr>
              <w:topLinePunct/>
              <w:adjustRightInd w:val="0"/>
              <w:snapToGrid w:val="0"/>
              <w:jc w:val="center"/>
              <w:rPr>
                <w:rFonts w:ascii="宋体" w:hAnsi="宋体"/>
                <w:b/>
                <w:bCs/>
                <w:szCs w:val="21"/>
              </w:rPr>
            </w:pPr>
            <w:r>
              <w:rPr>
                <w:rFonts w:hint="eastAsia" w:ascii="宋体" w:hAnsi="宋体"/>
                <w:b/>
                <w:bCs/>
                <w:szCs w:val="21"/>
              </w:rPr>
              <w:t>★低温功能</w:t>
            </w:r>
          </w:p>
        </w:tc>
        <w:tc>
          <w:tcPr>
            <w:tcW w:w="647" w:type="dxa"/>
            <w:tcMar>
              <w:left w:w="57" w:type="dxa"/>
              <w:right w:w="57" w:type="dxa"/>
            </w:tcMar>
            <w:vAlign w:val="center"/>
          </w:tcPr>
          <w:p>
            <w:pPr>
              <w:topLinePunct/>
              <w:adjustRightInd w:val="0"/>
              <w:snapToGrid w:val="0"/>
              <w:jc w:val="center"/>
              <w:rPr>
                <w:rFonts w:ascii="宋体" w:hAnsi="宋体"/>
                <w:b/>
                <w:bCs/>
                <w:szCs w:val="21"/>
              </w:rPr>
            </w:pPr>
          </w:p>
        </w:tc>
        <w:tc>
          <w:tcPr>
            <w:tcW w:w="3365" w:type="dxa"/>
            <w:tcMar>
              <w:left w:w="57" w:type="dxa"/>
              <w:right w:w="57" w:type="dxa"/>
            </w:tcMar>
            <w:vAlign w:val="center"/>
          </w:tcPr>
          <w:p>
            <w:pPr>
              <w:topLinePunct/>
              <w:adjustRightInd w:val="0"/>
              <w:snapToGrid w:val="0"/>
              <w:rPr>
                <w:rFonts w:ascii="宋体" w:hAnsi="宋体"/>
                <w:b/>
                <w:bCs/>
                <w:kern w:val="0"/>
                <w:szCs w:val="21"/>
                <w:lang w:val="zh-CN"/>
              </w:rPr>
            </w:pPr>
            <w:r>
              <w:rPr>
                <w:rFonts w:ascii="宋体" w:hAnsi="宋体"/>
                <w:b/>
                <w:bCs/>
                <w:kern w:val="0"/>
                <w:szCs w:val="21"/>
                <w:lang w:val="zh-CN"/>
              </w:rPr>
              <w:t>-20℃</w:t>
            </w:r>
            <w:r>
              <w:rPr>
                <w:rFonts w:hint="eastAsia" w:ascii="宋体" w:hAnsi="宋体"/>
                <w:b/>
                <w:bCs/>
                <w:kern w:val="0"/>
                <w:szCs w:val="21"/>
                <w:lang w:val="zh-CN"/>
              </w:rPr>
              <w:t>环境下，至少持续2小时</w:t>
            </w:r>
            <w:r>
              <w:rPr>
                <w:rFonts w:hint="eastAsia"/>
                <w:b/>
                <w:bCs/>
                <w:kern w:val="0"/>
                <w:szCs w:val="21"/>
                <w:lang w:val="zh-CN"/>
              </w:rPr>
              <w:t>，</w:t>
            </w:r>
            <w:r>
              <w:rPr>
                <w:b/>
                <w:bCs/>
                <w:kern w:val="0"/>
                <w:szCs w:val="21"/>
                <w:lang w:val="zh-CN"/>
              </w:rPr>
              <w:t>电桩充电控制导引、显示功能、输入功能、通讯功能和保护功能应正常。</w:t>
            </w:r>
            <w:r>
              <w:rPr>
                <w:rFonts w:hint="eastAsia" w:ascii="宋体" w:hAnsi="宋体"/>
                <w:b/>
                <w:bCs/>
                <w:szCs w:val="21"/>
              </w:rPr>
              <w:t>（提供第三方检测机构出具的带有C</w:t>
            </w:r>
            <w:r>
              <w:rPr>
                <w:rFonts w:ascii="宋体" w:hAnsi="宋体"/>
                <w:b/>
                <w:bCs/>
                <w:szCs w:val="21"/>
              </w:rPr>
              <w:t>MA</w:t>
            </w:r>
            <w:r>
              <w:rPr>
                <w:rFonts w:hint="eastAsia" w:ascii="宋体" w:hAnsi="宋体"/>
                <w:b/>
                <w:bCs/>
                <w:szCs w:val="21"/>
              </w:rPr>
              <w:t>和C</w:t>
            </w:r>
            <w:r>
              <w:rPr>
                <w:rFonts w:ascii="宋体" w:hAnsi="宋体"/>
                <w:b/>
                <w:bCs/>
                <w:szCs w:val="21"/>
              </w:rPr>
              <w:t>NAS</w:t>
            </w:r>
            <w:r>
              <w:rPr>
                <w:rFonts w:hint="eastAsia" w:ascii="宋体" w:hAnsi="宋体"/>
                <w:b/>
                <w:bCs/>
                <w:szCs w:val="21"/>
              </w:rPr>
              <w:t>标识的7k</w:t>
            </w:r>
            <w:r>
              <w:rPr>
                <w:rFonts w:ascii="宋体" w:hAnsi="宋体"/>
                <w:b/>
                <w:bCs/>
                <w:szCs w:val="21"/>
              </w:rPr>
              <w:t>W</w:t>
            </w:r>
            <w:r>
              <w:rPr>
                <w:rFonts w:hint="eastAsia" w:ascii="宋体" w:hAnsi="宋体"/>
                <w:b/>
                <w:bCs/>
                <w:szCs w:val="21"/>
              </w:rPr>
              <w:t>交流充电桩C</w:t>
            </w:r>
            <w:r>
              <w:rPr>
                <w:rFonts w:ascii="宋体" w:hAnsi="宋体"/>
                <w:b/>
                <w:bCs/>
                <w:szCs w:val="21"/>
              </w:rPr>
              <w:t>QC</w:t>
            </w:r>
            <w:r>
              <w:rPr>
                <w:rFonts w:hint="eastAsia" w:ascii="宋体" w:hAnsi="宋体"/>
                <w:b/>
                <w:bCs/>
                <w:szCs w:val="21"/>
              </w:rPr>
              <w:t>实验报告）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511" w:type="dxa"/>
            <w:vAlign w:val="center"/>
          </w:tcPr>
          <w:p>
            <w:pPr>
              <w:topLinePunct/>
              <w:adjustRightInd w:val="0"/>
              <w:snapToGrid w:val="0"/>
              <w:jc w:val="center"/>
              <w:rPr>
                <w:rFonts w:ascii="宋体" w:hAnsi="宋体"/>
                <w:szCs w:val="21"/>
              </w:rPr>
            </w:pPr>
            <w:r>
              <w:rPr>
                <w:rFonts w:hint="eastAsia" w:ascii="宋体" w:hAnsi="宋体"/>
                <w:szCs w:val="21"/>
              </w:rPr>
              <w:t>7</w:t>
            </w:r>
          </w:p>
        </w:tc>
        <w:tc>
          <w:tcPr>
            <w:tcW w:w="778" w:type="dxa"/>
            <w:vMerge w:val="continue"/>
            <w:tcMar>
              <w:left w:w="57" w:type="dxa"/>
              <w:right w:w="57" w:type="dxa"/>
            </w:tcMar>
            <w:vAlign w:val="center"/>
          </w:tcPr>
          <w:p>
            <w:pPr>
              <w:topLinePunct/>
              <w:adjustRightInd w:val="0"/>
              <w:snapToGrid w:val="0"/>
              <w:jc w:val="center"/>
              <w:rPr>
                <w:rFonts w:ascii="宋体" w:hAnsi="宋体"/>
                <w:szCs w:val="21"/>
              </w:rPr>
            </w:pPr>
          </w:p>
        </w:tc>
        <w:tc>
          <w:tcPr>
            <w:tcW w:w="3119" w:type="dxa"/>
            <w:tcMar>
              <w:left w:w="57" w:type="dxa"/>
              <w:right w:w="57" w:type="dxa"/>
            </w:tcMar>
            <w:vAlign w:val="center"/>
          </w:tcPr>
          <w:p>
            <w:pPr>
              <w:topLinePunct/>
              <w:adjustRightInd w:val="0"/>
              <w:snapToGrid w:val="0"/>
              <w:jc w:val="center"/>
              <w:rPr>
                <w:rFonts w:ascii="宋体" w:hAnsi="宋体"/>
                <w:b/>
                <w:bCs/>
                <w:szCs w:val="21"/>
              </w:rPr>
            </w:pPr>
            <w:r>
              <w:rPr>
                <w:rFonts w:hint="eastAsia" w:ascii="宋体" w:hAnsi="宋体"/>
                <w:b/>
                <w:bCs/>
                <w:szCs w:val="21"/>
              </w:rPr>
              <w:t>★高温功能</w:t>
            </w:r>
          </w:p>
        </w:tc>
        <w:tc>
          <w:tcPr>
            <w:tcW w:w="647" w:type="dxa"/>
            <w:tcMar>
              <w:left w:w="57" w:type="dxa"/>
              <w:right w:w="57" w:type="dxa"/>
            </w:tcMar>
            <w:vAlign w:val="center"/>
          </w:tcPr>
          <w:p>
            <w:pPr>
              <w:topLinePunct/>
              <w:adjustRightInd w:val="0"/>
              <w:snapToGrid w:val="0"/>
              <w:jc w:val="center"/>
              <w:rPr>
                <w:rFonts w:ascii="宋体" w:hAnsi="宋体"/>
                <w:b/>
                <w:bCs/>
                <w:szCs w:val="21"/>
              </w:rPr>
            </w:pPr>
          </w:p>
        </w:tc>
        <w:tc>
          <w:tcPr>
            <w:tcW w:w="3365" w:type="dxa"/>
            <w:tcMar>
              <w:left w:w="57" w:type="dxa"/>
              <w:right w:w="57" w:type="dxa"/>
            </w:tcMar>
            <w:vAlign w:val="center"/>
          </w:tcPr>
          <w:p>
            <w:pPr>
              <w:topLinePunct/>
              <w:adjustRightInd w:val="0"/>
              <w:snapToGrid w:val="0"/>
              <w:rPr>
                <w:rFonts w:ascii="宋体" w:hAnsi="宋体"/>
                <w:b/>
                <w:bCs/>
                <w:kern w:val="0"/>
                <w:szCs w:val="21"/>
                <w:lang w:val="zh-CN"/>
              </w:rPr>
            </w:pPr>
            <w:r>
              <w:rPr>
                <w:rFonts w:ascii="宋体" w:hAnsi="宋体"/>
                <w:b/>
                <w:bCs/>
                <w:kern w:val="0"/>
                <w:szCs w:val="21"/>
                <w:lang w:val="zh-CN"/>
              </w:rPr>
              <w:t>50℃</w:t>
            </w:r>
            <w:r>
              <w:rPr>
                <w:rFonts w:hint="eastAsia" w:ascii="宋体" w:hAnsi="宋体"/>
                <w:b/>
                <w:bCs/>
                <w:kern w:val="0"/>
                <w:szCs w:val="21"/>
                <w:lang w:val="zh-CN"/>
              </w:rPr>
              <w:t>环境下，至少持续2小时</w:t>
            </w:r>
            <w:r>
              <w:rPr>
                <w:rFonts w:hint="eastAsia"/>
                <w:b/>
                <w:bCs/>
                <w:kern w:val="0"/>
                <w:szCs w:val="21"/>
                <w:lang w:val="zh-CN"/>
              </w:rPr>
              <w:t>，</w:t>
            </w:r>
            <w:r>
              <w:rPr>
                <w:b/>
                <w:bCs/>
                <w:kern w:val="0"/>
                <w:szCs w:val="21"/>
                <w:lang w:val="zh-CN"/>
              </w:rPr>
              <w:t>电桩充电控制导引、显示功能、输入功能、通讯功能和保护功能应正常。</w:t>
            </w:r>
            <w:r>
              <w:rPr>
                <w:rFonts w:hint="eastAsia" w:ascii="宋体" w:hAnsi="宋体"/>
                <w:b/>
                <w:bCs/>
                <w:szCs w:val="21"/>
              </w:rPr>
              <w:t>（提供第三方检测机构出具的带有C</w:t>
            </w:r>
            <w:r>
              <w:rPr>
                <w:rFonts w:ascii="宋体" w:hAnsi="宋体"/>
                <w:b/>
                <w:bCs/>
                <w:szCs w:val="21"/>
              </w:rPr>
              <w:t>MA</w:t>
            </w:r>
            <w:r>
              <w:rPr>
                <w:rFonts w:hint="eastAsia" w:ascii="宋体" w:hAnsi="宋体"/>
                <w:b/>
                <w:bCs/>
                <w:szCs w:val="21"/>
              </w:rPr>
              <w:t>和C</w:t>
            </w:r>
            <w:r>
              <w:rPr>
                <w:rFonts w:ascii="宋体" w:hAnsi="宋体"/>
                <w:b/>
                <w:bCs/>
                <w:szCs w:val="21"/>
              </w:rPr>
              <w:t>NAS</w:t>
            </w:r>
            <w:r>
              <w:rPr>
                <w:rFonts w:hint="eastAsia" w:ascii="宋体" w:hAnsi="宋体"/>
                <w:b/>
                <w:bCs/>
                <w:szCs w:val="21"/>
              </w:rPr>
              <w:t>标识的7k</w:t>
            </w:r>
            <w:r>
              <w:rPr>
                <w:rFonts w:ascii="宋体" w:hAnsi="宋体"/>
                <w:b/>
                <w:bCs/>
                <w:szCs w:val="21"/>
              </w:rPr>
              <w:t>W</w:t>
            </w:r>
            <w:r>
              <w:rPr>
                <w:rFonts w:hint="eastAsia" w:ascii="宋体" w:hAnsi="宋体"/>
                <w:b/>
                <w:bCs/>
                <w:szCs w:val="21"/>
              </w:rPr>
              <w:t>交流充电桩C</w:t>
            </w:r>
            <w:r>
              <w:rPr>
                <w:rFonts w:ascii="宋体" w:hAnsi="宋体"/>
                <w:b/>
                <w:bCs/>
                <w:szCs w:val="21"/>
              </w:rPr>
              <w:t>QC</w:t>
            </w:r>
            <w:r>
              <w:rPr>
                <w:rFonts w:hint="eastAsia" w:ascii="宋体" w:hAnsi="宋体"/>
                <w:b/>
                <w:bCs/>
                <w:szCs w:val="21"/>
              </w:rPr>
              <w:t>实验报告）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511" w:type="dxa"/>
            <w:vAlign w:val="center"/>
          </w:tcPr>
          <w:p>
            <w:pPr>
              <w:topLinePunct/>
              <w:adjustRightInd w:val="0"/>
              <w:snapToGrid w:val="0"/>
              <w:jc w:val="center"/>
              <w:rPr>
                <w:rFonts w:ascii="宋体" w:hAnsi="宋体"/>
                <w:szCs w:val="21"/>
              </w:rPr>
            </w:pPr>
            <w:r>
              <w:rPr>
                <w:rFonts w:hint="eastAsia" w:ascii="宋体" w:hAnsi="宋体"/>
                <w:szCs w:val="21"/>
              </w:rPr>
              <w:t>8</w:t>
            </w:r>
          </w:p>
        </w:tc>
        <w:tc>
          <w:tcPr>
            <w:tcW w:w="778" w:type="dxa"/>
            <w:vMerge w:val="continue"/>
            <w:tcMar>
              <w:left w:w="57" w:type="dxa"/>
              <w:right w:w="57" w:type="dxa"/>
            </w:tcMar>
            <w:vAlign w:val="center"/>
          </w:tcPr>
          <w:p>
            <w:pPr>
              <w:topLinePunct/>
              <w:adjustRightInd w:val="0"/>
              <w:snapToGrid w:val="0"/>
              <w:jc w:val="center"/>
              <w:rPr>
                <w:rFonts w:ascii="宋体" w:hAnsi="宋体"/>
                <w:szCs w:val="21"/>
              </w:rPr>
            </w:pPr>
          </w:p>
        </w:tc>
        <w:tc>
          <w:tcPr>
            <w:tcW w:w="3119" w:type="dxa"/>
            <w:tcMar>
              <w:left w:w="57" w:type="dxa"/>
              <w:right w:w="57" w:type="dxa"/>
            </w:tcMar>
            <w:vAlign w:val="center"/>
          </w:tcPr>
          <w:p>
            <w:pPr>
              <w:topLinePunct/>
              <w:adjustRightInd w:val="0"/>
              <w:snapToGrid w:val="0"/>
              <w:jc w:val="center"/>
              <w:rPr>
                <w:rFonts w:ascii="宋体" w:hAnsi="宋体"/>
                <w:szCs w:val="21"/>
              </w:rPr>
            </w:pPr>
            <w:r>
              <w:rPr>
                <w:rFonts w:hint="eastAsia" w:ascii="宋体" w:hAnsi="宋体"/>
                <w:szCs w:val="21"/>
              </w:rPr>
              <w:t>机械强度</w:t>
            </w:r>
          </w:p>
        </w:tc>
        <w:tc>
          <w:tcPr>
            <w:tcW w:w="647" w:type="dxa"/>
            <w:tcMar>
              <w:left w:w="57" w:type="dxa"/>
              <w:right w:w="57" w:type="dxa"/>
            </w:tcMar>
            <w:vAlign w:val="center"/>
          </w:tcPr>
          <w:p>
            <w:pPr>
              <w:topLinePunct/>
              <w:adjustRightInd w:val="0"/>
              <w:snapToGrid w:val="0"/>
              <w:jc w:val="center"/>
              <w:rPr>
                <w:rFonts w:ascii="宋体" w:hAnsi="宋体"/>
                <w:szCs w:val="21"/>
              </w:rPr>
            </w:pPr>
            <w:r>
              <w:rPr>
                <w:rFonts w:hint="eastAsia" w:ascii="宋体" w:hAnsi="宋体"/>
                <w:szCs w:val="21"/>
              </w:rPr>
              <w:t>J</w:t>
            </w:r>
          </w:p>
        </w:tc>
        <w:tc>
          <w:tcPr>
            <w:tcW w:w="3365" w:type="dxa"/>
            <w:tcMar>
              <w:left w:w="57" w:type="dxa"/>
              <w:right w:w="57" w:type="dxa"/>
            </w:tcMar>
            <w:vAlign w:val="center"/>
          </w:tcPr>
          <w:p>
            <w:pPr>
              <w:topLinePunct/>
              <w:adjustRightInd w:val="0"/>
              <w:snapToGrid w:val="0"/>
              <w:jc w:val="center"/>
              <w:rPr>
                <w:rFonts w:ascii="宋体" w:hAnsi="宋体"/>
                <w:szCs w:val="21"/>
              </w:rPr>
            </w:pPr>
            <w:r>
              <w:rPr>
                <w:rFonts w:hint="eastAsia" w:ascii="宋体" w:hAnsi="宋体"/>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511" w:type="dxa"/>
            <w:vAlign w:val="center"/>
          </w:tcPr>
          <w:p>
            <w:pPr>
              <w:topLinePunct/>
              <w:adjustRightInd w:val="0"/>
              <w:snapToGrid w:val="0"/>
              <w:jc w:val="center"/>
              <w:rPr>
                <w:rFonts w:ascii="宋体" w:hAnsi="宋体"/>
                <w:szCs w:val="21"/>
              </w:rPr>
            </w:pPr>
            <w:r>
              <w:rPr>
                <w:rFonts w:hint="eastAsia" w:ascii="宋体" w:hAnsi="宋体"/>
                <w:szCs w:val="21"/>
              </w:rPr>
              <w:t>9</w:t>
            </w:r>
          </w:p>
        </w:tc>
        <w:tc>
          <w:tcPr>
            <w:tcW w:w="778" w:type="dxa"/>
            <w:vMerge w:val="continue"/>
            <w:tcMar>
              <w:left w:w="57" w:type="dxa"/>
              <w:right w:w="57" w:type="dxa"/>
            </w:tcMar>
            <w:vAlign w:val="center"/>
          </w:tcPr>
          <w:p>
            <w:pPr>
              <w:topLinePunct/>
              <w:adjustRightInd w:val="0"/>
              <w:snapToGrid w:val="0"/>
              <w:jc w:val="center"/>
              <w:rPr>
                <w:rFonts w:ascii="宋体" w:hAnsi="宋体"/>
                <w:szCs w:val="21"/>
              </w:rPr>
            </w:pPr>
          </w:p>
        </w:tc>
        <w:tc>
          <w:tcPr>
            <w:tcW w:w="3119" w:type="dxa"/>
            <w:tcMar>
              <w:left w:w="57" w:type="dxa"/>
              <w:right w:w="57" w:type="dxa"/>
            </w:tcMar>
            <w:vAlign w:val="center"/>
          </w:tcPr>
          <w:p>
            <w:pPr>
              <w:topLinePunct/>
              <w:adjustRightInd w:val="0"/>
              <w:snapToGrid w:val="0"/>
              <w:jc w:val="center"/>
              <w:rPr>
                <w:rFonts w:ascii="宋体" w:hAnsi="宋体"/>
                <w:szCs w:val="21"/>
              </w:rPr>
            </w:pPr>
            <w:r>
              <w:rPr>
                <w:rFonts w:hint="eastAsia" w:ascii="宋体" w:hAnsi="宋体"/>
                <w:szCs w:val="21"/>
              </w:rPr>
              <w:t>静电放电抗扰度</w:t>
            </w:r>
          </w:p>
        </w:tc>
        <w:tc>
          <w:tcPr>
            <w:tcW w:w="647" w:type="dxa"/>
            <w:tcMar>
              <w:left w:w="57" w:type="dxa"/>
              <w:right w:w="57" w:type="dxa"/>
            </w:tcMar>
            <w:vAlign w:val="center"/>
          </w:tcPr>
          <w:p>
            <w:pPr>
              <w:topLinePunct/>
              <w:adjustRightInd w:val="0"/>
              <w:snapToGrid w:val="0"/>
              <w:jc w:val="center"/>
              <w:rPr>
                <w:rFonts w:ascii="宋体" w:hAnsi="宋体"/>
                <w:szCs w:val="21"/>
              </w:rPr>
            </w:pPr>
          </w:p>
        </w:tc>
        <w:tc>
          <w:tcPr>
            <w:tcW w:w="3365" w:type="dxa"/>
            <w:tcMar>
              <w:left w:w="57" w:type="dxa"/>
              <w:right w:w="57" w:type="dxa"/>
            </w:tcMar>
            <w:vAlign w:val="center"/>
          </w:tcPr>
          <w:p>
            <w:pPr>
              <w:topLinePunct/>
              <w:adjustRightInd w:val="0"/>
              <w:snapToGrid w:val="0"/>
              <w:jc w:val="center"/>
              <w:rPr>
                <w:rFonts w:ascii="宋体" w:hAnsi="宋体"/>
                <w:szCs w:val="21"/>
              </w:rPr>
            </w:pPr>
            <w:r>
              <w:rPr>
                <w:rFonts w:hint="eastAsia" w:ascii="宋体" w:hAnsi="宋体"/>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511" w:type="dxa"/>
            <w:vAlign w:val="center"/>
          </w:tcPr>
          <w:p>
            <w:pPr>
              <w:topLinePunct/>
              <w:adjustRightInd w:val="0"/>
              <w:snapToGrid w:val="0"/>
              <w:jc w:val="center"/>
              <w:rPr>
                <w:rFonts w:ascii="宋体" w:hAnsi="宋体"/>
                <w:szCs w:val="21"/>
              </w:rPr>
            </w:pPr>
            <w:r>
              <w:rPr>
                <w:rFonts w:hint="eastAsia" w:ascii="宋体" w:hAnsi="宋体"/>
                <w:szCs w:val="21"/>
              </w:rPr>
              <w:t>10</w:t>
            </w:r>
          </w:p>
        </w:tc>
        <w:tc>
          <w:tcPr>
            <w:tcW w:w="778" w:type="dxa"/>
            <w:vMerge w:val="continue"/>
            <w:tcMar>
              <w:left w:w="57" w:type="dxa"/>
              <w:right w:w="57" w:type="dxa"/>
            </w:tcMar>
            <w:vAlign w:val="center"/>
          </w:tcPr>
          <w:p>
            <w:pPr>
              <w:topLinePunct/>
              <w:adjustRightInd w:val="0"/>
              <w:snapToGrid w:val="0"/>
              <w:jc w:val="center"/>
              <w:rPr>
                <w:rFonts w:ascii="宋体" w:hAnsi="宋体"/>
                <w:szCs w:val="21"/>
              </w:rPr>
            </w:pPr>
          </w:p>
        </w:tc>
        <w:tc>
          <w:tcPr>
            <w:tcW w:w="3119" w:type="dxa"/>
            <w:tcMar>
              <w:left w:w="57" w:type="dxa"/>
              <w:right w:w="57" w:type="dxa"/>
            </w:tcMar>
            <w:vAlign w:val="center"/>
          </w:tcPr>
          <w:p>
            <w:pPr>
              <w:topLinePunct/>
              <w:adjustRightInd w:val="0"/>
              <w:snapToGrid w:val="0"/>
              <w:jc w:val="center"/>
              <w:rPr>
                <w:rFonts w:ascii="宋体" w:hAnsi="宋体"/>
                <w:szCs w:val="21"/>
              </w:rPr>
            </w:pPr>
            <w:r>
              <w:rPr>
                <w:rFonts w:hint="eastAsia" w:ascii="宋体" w:hAnsi="宋体"/>
                <w:szCs w:val="21"/>
              </w:rPr>
              <w:t>工频磁场抗扰度</w:t>
            </w:r>
          </w:p>
        </w:tc>
        <w:tc>
          <w:tcPr>
            <w:tcW w:w="647" w:type="dxa"/>
            <w:tcMar>
              <w:left w:w="57" w:type="dxa"/>
              <w:right w:w="57" w:type="dxa"/>
            </w:tcMar>
            <w:vAlign w:val="center"/>
          </w:tcPr>
          <w:p>
            <w:pPr>
              <w:topLinePunct/>
              <w:adjustRightInd w:val="0"/>
              <w:snapToGrid w:val="0"/>
              <w:jc w:val="center"/>
              <w:rPr>
                <w:rFonts w:ascii="宋体" w:hAnsi="宋体"/>
                <w:szCs w:val="21"/>
              </w:rPr>
            </w:pPr>
          </w:p>
        </w:tc>
        <w:tc>
          <w:tcPr>
            <w:tcW w:w="3365" w:type="dxa"/>
            <w:tcMar>
              <w:left w:w="57" w:type="dxa"/>
              <w:right w:w="57" w:type="dxa"/>
            </w:tcMar>
            <w:vAlign w:val="center"/>
          </w:tcPr>
          <w:p>
            <w:pPr>
              <w:topLinePunct/>
              <w:adjustRightInd w:val="0"/>
              <w:snapToGrid w:val="0"/>
              <w:jc w:val="center"/>
              <w:rPr>
                <w:rFonts w:ascii="宋体" w:hAnsi="宋体"/>
                <w:szCs w:val="21"/>
              </w:rPr>
            </w:pPr>
            <w:r>
              <w:rPr>
                <w:rFonts w:ascii="宋体" w:hAnsi="宋体"/>
                <w:szCs w:val="21"/>
              </w:rPr>
              <w:t>4</w:t>
            </w:r>
            <w:r>
              <w:rPr>
                <w:rFonts w:hint="eastAsia" w:ascii="宋体" w:hAnsi="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511" w:type="dxa"/>
            <w:vAlign w:val="center"/>
          </w:tcPr>
          <w:p>
            <w:pPr>
              <w:topLinePunct/>
              <w:adjustRightInd w:val="0"/>
              <w:snapToGrid w:val="0"/>
              <w:jc w:val="center"/>
              <w:rPr>
                <w:rFonts w:ascii="宋体" w:hAnsi="宋体"/>
                <w:szCs w:val="21"/>
              </w:rPr>
            </w:pPr>
            <w:r>
              <w:rPr>
                <w:rFonts w:hint="eastAsia" w:ascii="宋体" w:hAnsi="宋体"/>
                <w:szCs w:val="21"/>
              </w:rPr>
              <w:t>11</w:t>
            </w:r>
          </w:p>
        </w:tc>
        <w:tc>
          <w:tcPr>
            <w:tcW w:w="778" w:type="dxa"/>
            <w:vMerge w:val="continue"/>
            <w:tcMar>
              <w:left w:w="57" w:type="dxa"/>
              <w:right w:w="57" w:type="dxa"/>
            </w:tcMar>
            <w:vAlign w:val="center"/>
          </w:tcPr>
          <w:p>
            <w:pPr>
              <w:topLinePunct/>
              <w:adjustRightInd w:val="0"/>
              <w:snapToGrid w:val="0"/>
              <w:jc w:val="center"/>
              <w:rPr>
                <w:rFonts w:ascii="宋体" w:hAnsi="宋体"/>
                <w:szCs w:val="21"/>
              </w:rPr>
            </w:pPr>
          </w:p>
        </w:tc>
        <w:tc>
          <w:tcPr>
            <w:tcW w:w="3119" w:type="dxa"/>
            <w:tcMar>
              <w:left w:w="57" w:type="dxa"/>
              <w:right w:w="57" w:type="dxa"/>
            </w:tcMar>
            <w:vAlign w:val="center"/>
          </w:tcPr>
          <w:p>
            <w:pPr>
              <w:topLinePunct/>
              <w:adjustRightInd w:val="0"/>
              <w:snapToGrid w:val="0"/>
              <w:jc w:val="center"/>
              <w:rPr>
                <w:rFonts w:ascii="宋体" w:hAnsi="宋体"/>
                <w:szCs w:val="21"/>
              </w:rPr>
            </w:pPr>
            <w:r>
              <w:rPr>
                <w:rFonts w:hint="eastAsia" w:ascii="宋体" w:hAnsi="宋体"/>
                <w:szCs w:val="21"/>
              </w:rPr>
              <w:t>电快速瞬变脉冲群抗扰度</w:t>
            </w:r>
          </w:p>
        </w:tc>
        <w:tc>
          <w:tcPr>
            <w:tcW w:w="647" w:type="dxa"/>
            <w:tcMar>
              <w:left w:w="57" w:type="dxa"/>
              <w:right w:w="57" w:type="dxa"/>
            </w:tcMar>
            <w:vAlign w:val="center"/>
          </w:tcPr>
          <w:p>
            <w:pPr>
              <w:topLinePunct/>
              <w:adjustRightInd w:val="0"/>
              <w:snapToGrid w:val="0"/>
              <w:jc w:val="center"/>
              <w:rPr>
                <w:rFonts w:ascii="宋体" w:hAnsi="宋体"/>
                <w:szCs w:val="21"/>
              </w:rPr>
            </w:pPr>
          </w:p>
        </w:tc>
        <w:tc>
          <w:tcPr>
            <w:tcW w:w="3365" w:type="dxa"/>
            <w:tcMar>
              <w:left w:w="57" w:type="dxa"/>
              <w:right w:w="57" w:type="dxa"/>
            </w:tcMar>
            <w:vAlign w:val="center"/>
          </w:tcPr>
          <w:p>
            <w:pPr>
              <w:topLinePunct/>
              <w:adjustRightInd w:val="0"/>
              <w:snapToGrid w:val="0"/>
              <w:jc w:val="center"/>
              <w:rPr>
                <w:rFonts w:ascii="宋体" w:hAnsi="宋体"/>
                <w:szCs w:val="21"/>
              </w:rPr>
            </w:pPr>
            <w:r>
              <w:rPr>
                <w:rFonts w:hint="eastAsia" w:ascii="宋体" w:hAnsi="宋体"/>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511" w:type="dxa"/>
            <w:vAlign w:val="center"/>
          </w:tcPr>
          <w:p>
            <w:pPr>
              <w:topLinePunct/>
              <w:adjustRightInd w:val="0"/>
              <w:snapToGrid w:val="0"/>
              <w:jc w:val="center"/>
              <w:rPr>
                <w:rFonts w:ascii="宋体" w:hAnsi="宋体"/>
                <w:szCs w:val="21"/>
              </w:rPr>
            </w:pPr>
            <w:r>
              <w:rPr>
                <w:rFonts w:hint="eastAsia" w:ascii="宋体" w:hAnsi="宋体"/>
                <w:szCs w:val="21"/>
              </w:rPr>
              <w:t>12</w:t>
            </w:r>
          </w:p>
        </w:tc>
        <w:tc>
          <w:tcPr>
            <w:tcW w:w="778" w:type="dxa"/>
            <w:vMerge w:val="continue"/>
            <w:tcMar>
              <w:left w:w="57" w:type="dxa"/>
              <w:right w:w="57" w:type="dxa"/>
            </w:tcMar>
            <w:vAlign w:val="center"/>
          </w:tcPr>
          <w:p>
            <w:pPr>
              <w:topLinePunct/>
              <w:adjustRightInd w:val="0"/>
              <w:snapToGrid w:val="0"/>
              <w:jc w:val="center"/>
              <w:rPr>
                <w:rFonts w:ascii="宋体" w:hAnsi="宋体"/>
                <w:szCs w:val="21"/>
              </w:rPr>
            </w:pPr>
          </w:p>
        </w:tc>
        <w:tc>
          <w:tcPr>
            <w:tcW w:w="3119" w:type="dxa"/>
            <w:tcMar>
              <w:left w:w="57" w:type="dxa"/>
              <w:right w:w="57" w:type="dxa"/>
            </w:tcMar>
            <w:vAlign w:val="center"/>
          </w:tcPr>
          <w:p>
            <w:pPr>
              <w:topLinePunct/>
              <w:adjustRightInd w:val="0"/>
              <w:snapToGrid w:val="0"/>
              <w:jc w:val="center"/>
              <w:rPr>
                <w:rFonts w:ascii="宋体" w:hAnsi="宋体"/>
                <w:szCs w:val="21"/>
              </w:rPr>
            </w:pPr>
            <w:r>
              <w:rPr>
                <w:rFonts w:hint="eastAsia" w:ascii="宋体" w:hAnsi="宋体"/>
                <w:szCs w:val="21"/>
              </w:rPr>
              <w:t>浪涌（冲击）抗扰度</w:t>
            </w:r>
          </w:p>
        </w:tc>
        <w:tc>
          <w:tcPr>
            <w:tcW w:w="647" w:type="dxa"/>
            <w:tcMar>
              <w:left w:w="57" w:type="dxa"/>
              <w:right w:w="57" w:type="dxa"/>
            </w:tcMar>
            <w:vAlign w:val="center"/>
          </w:tcPr>
          <w:p>
            <w:pPr>
              <w:topLinePunct/>
              <w:adjustRightInd w:val="0"/>
              <w:snapToGrid w:val="0"/>
              <w:jc w:val="center"/>
              <w:rPr>
                <w:rFonts w:ascii="宋体" w:hAnsi="宋体"/>
                <w:szCs w:val="21"/>
              </w:rPr>
            </w:pPr>
          </w:p>
        </w:tc>
        <w:tc>
          <w:tcPr>
            <w:tcW w:w="3365" w:type="dxa"/>
            <w:tcMar>
              <w:left w:w="57" w:type="dxa"/>
              <w:right w:w="57" w:type="dxa"/>
            </w:tcMar>
            <w:vAlign w:val="center"/>
          </w:tcPr>
          <w:p>
            <w:pPr>
              <w:topLinePunct/>
              <w:adjustRightInd w:val="0"/>
              <w:snapToGrid w:val="0"/>
              <w:jc w:val="center"/>
              <w:rPr>
                <w:rFonts w:ascii="宋体" w:hAnsi="宋体"/>
                <w:szCs w:val="21"/>
              </w:rPr>
            </w:pPr>
            <w:r>
              <w:rPr>
                <w:rFonts w:hint="eastAsia" w:ascii="宋体" w:hAnsi="宋体"/>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511" w:type="dxa"/>
            <w:vAlign w:val="center"/>
          </w:tcPr>
          <w:p>
            <w:pPr>
              <w:topLinePunct/>
              <w:adjustRightInd w:val="0"/>
              <w:snapToGrid w:val="0"/>
              <w:jc w:val="center"/>
              <w:rPr>
                <w:rFonts w:ascii="宋体" w:hAnsi="宋体"/>
                <w:szCs w:val="21"/>
              </w:rPr>
            </w:pPr>
            <w:r>
              <w:rPr>
                <w:rFonts w:hint="eastAsia" w:ascii="宋体" w:hAnsi="宋体"/>
                <w:szCs w:val="21"/>
              </w:rPr>
              <w:t>13</w:t>
            </w:r>
          </w:p>
        </w:tc>
        <w:tc>
          <w:tcPr>
            <w:tcW w:w="778" w:type="dxa"/>
            <w:vMerge w:val="continue"/>
            <w:tcMar>
              <w:left w:w="57" w:type="dxa"/>
              <w:right w:w="57" w:type="dxa"/>
            </w:tcMar>
            <w:vAlign w:val="center"/>
          </w:tcPr>
          <w:p>
            <w:pPr>
              <w:topLinePunct/>
              <w:adjustRightInd w:val="0"/>
              <w:snapToGrid w:val="0"/>
              <w:jc w:val="center"/>
              <w:rPr>
                <w:rFonts w:ascii="宋体" w:hAnsi="宋体"/>
                <w:szCs w:val="21"/>
              </w:rPr>
            </w:pPr>
          </w:p>
        </w:tc>
        <w:tc>
          <w:tcPr>
            <w:tcW w:w="3119" w:type="dxa"/>
            <w:tcMar>
              <w:left w:w="57" w:type="dxa"/>
              <w:right w:w="57" w:type="dxa"/>
            </w:tcMar>
            <w:vAlign w:val="center"/>
          </w:tcPr>
          <w:p>
            <w:pPr>
              <w:topLinePunct/>
              <w:adjustRightInd w:val="0"/>
              <w:snapToGrid w:val="0"/>
              <w:jc w:val="center"/>
              <w:rPr>
                <w:rFonts w:ascii="宋体" w:hAnsi="宋体"/>
                <w:szCs w:val="21"/>
              </w:rPr>
            </w:pPr>
            <w:r>
              <w:rPr>
                <w:rFonts w:hint="eastAsia" w:ascii="宋体" w:hAnsi="宋体"/>
                <w:szCs w:val="21"/>
              </w:rPr>
              <w:t>电压暂降、短时中断抗扰度试验</w:t>
            </w:r>
          </w:p>
        </w:tc>
        <w:tc>
          <w:tcPr>
            <w:tcW w:w="647" w:type="dxa"/>
            <w:tcMar>
              <w:left w:w="57" w:type="dxa"/>
              <w:right w:w="57" w:type="dxa"/>
            </w:tcMar>
            <w:vAlign w:val="center"/>
          </w:tcPr>
          <w:p>
            <w:pPr>
              <w:topLinePunct/>
              <w:adjustRightInd w:val="0"/>
              <w:snapToGrid w:val="0"/>
              <w:jc w:val="center"/>
              <w:rPr>
                <w:rFonts w:ascii="宋体" w:hAnsi="宋体"/>
                <w:szCs w:val="21"/>
              </w:rPr>
            </w:pPr>
          </w:p>
        </w:tc>
        <w:tc>
          <w:tcPr>
            <w:tcW w:w="3365" w:type="dxa"/>
            <w:tcMar>
              <w:left w:w="57" w:type="dxa"/>
              <w:right w:w="57" w:type="dxa"/>
            </w:tcMar>
            <w:vAlign w:val="center"/>
          </w:tcPr>
          <w:p>
            <w:pPr>
              <w:topLinePunct/>
              <w:adjustRightInd w:val="0"/>
              <w:snapToGrid w:val="0"/>
              <w:jc w:val="center"/>
              <w:rPr>
                <w:rFonts w:ascii="宋体" w:hAnsi="宋体"/>
                <w:szCs w:val="21"/>
              </w:rPr>
            </w:pPr>
            <w:r>
              <w:rPr>
                <w:rFonts w:ascii="宋体" w:hAnsi="宋体"/>
                <w:szCs w:val="21"/>
              </w:rPr>
              <w:t>GB/T 17626.11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511" w:type="dxa"/>
            <w:vAlign w:val="center"/>
          </w:tcPr>
          <w:p>
            <w:pPr>
              <w:topLinePunct/>
              <w:adjustRightInd w:val="0"/>
              <w:snapToGrid w:val="0"/>
              <w:jc w:val="center"/>
              <w:rPr>
                <w:rFonts w:ascii="宋体" w:hAnsi="宋体"/>
                <w:szCs w:val="21"/>
              </w:rPr>
            </w:pPr>
            <w:r>
              <w:rPr>
                <w:rFonts w:hint="eastAsia" w:ascii="宋体" w:hAnsi="宋体"/>
                <w:szCs w:val="21"/>
              </w:rPr>
              <w:t>14</w:t>
            </w:r>
          </w:p>
        </w:tc>
        <w:tc>
          <w:tcPr>
            <w:tcW w:w="778" w:type="dxa"/>
            <w:vMerge w:val="continue"/>
            <w:tcMar>
              <w:left w:w="57" w:type="dxa"/>
              <w:right w:w="57" w:type="dxa"/>
            </w:tcMar>
            <w:vAlign w:val="center"/>
          </w:tcPr>
          <w:p>
            <w:pPr>
              <w:topLinePunct/>
              <w:adjustRightInd w:val="0"/>
              <w:snapToGrid w:val="0"/>
              <w:jc w:val="center"/>
              <w:rPr>
                <w:rFonts w:ascii="宋体" w:hAnsi="宋体"/>
                <w:szCs w:val="21"/>
              </w:rPr>
            </w:pPr>
          </w:p>
        </w:tc>
        <w:tc>
          <w:tcPr>
            <w:tcW w:w="3119" w:type="dxa"/>
            <w:tcMar>
              <w:left w:w="57" w:type="dxa"/>
              <w:right w:w="57" w:type="dxa"/>
            </w:tcMar>
            <w:vAlign w:val="center"/>
          </w:tcPr>
          <w:p>
            <w:pPr>
              <w:topLinePunct/>
              <w:adjustRightInd w:val="0"/>
              <w:snapToGrid w:val="0"/>
              <w:jc w:val="center"/>
              <w:rPr>
                <w:b/>
                <w:bCs/>
                <w:kern w:val="0"/>
                <w:sz w:val="24"/>
              </w:rPr>
            </w:pPr>
            <w:r>
              <w:rPr>
                <w:rFonts w:hint="eastAsia" w:ascii="宋体" w:hAnsi="宋体"/>
                <w:b/>
                <w:bCs/>
                <w:szCs w:val="21"/>
              </w:rPr>
              <w:t>★</w:t>
            </w:r>
            <w:r>
              <w:rPr>
                <w:b/>
                <w:bCs/>
                <w:szCs w:val="21"/>
              </w:rPr>
              <w:t>防锈（防氧化）</w:t>
            </w:r>
            <w:r>
              <w:rPr>
                <w:rFonts w:hint="eastAsia"/>
                <w:b/>
                <w:bCs/>
                <w:szCs w:val="21"/>
              </w:rPr>
              <w:t>性</w:t>
            </w:r>
          </w:p>
        </w:tc>
        <w:tc>
          <w:tcPr>
            <w:tcW w:w="647" w:type="dxa"/>
            <w:tcMar>
              <w:left w:w="57" w:type="dxa"/>
              <w:right w:w="57" w:type="dxa"/>
            </w:tcMar>
            <w:vAlign w:val="center"/>
          </w:tcPr>
          <w:p>
            <w:pPr>
              <w:topLinePunct/>
              <w:adjustRightInd w:val="0"/>
              <w:snapToGrid w:val="0"/>
              <w:jc w:val="center"/>
              <w:rPr>
                <w:rFonts w:ascii="宋体" w:hAnsi="宋体"/>
                <w:b/>
                <w:bCs/>
                <w:szCs w:val="21"/>
              </w:rPr>
            </w:pPr>
          </w:p>
        </w:tc>
        <w:tc>
          <w:tcPr>
            <w:tcW w:w="3365" w:type="dxa"/>
            <w:tcMar>
              <w:left w:w="57" w:type="dxa"/>
              <w:right w:w="57" w:type="dxa"/>
            </w:tcMar>
            <w:vAlign w:val="center"/>
          </w:tcPr>
          <w:p>
            <w:pPr>
              <w:topLinePunct/>
              <w:adjustRightInd w:val="0"/>
              <w:snapToGrid w:val="0"/>
              <w:rPr>
                <w:b/>
                <w:bCs/>
                <w:kern w:val="0"/>
                <w:sz w:val="24"/>
              </w:rPr>
            </w:pPr>
            <w:r>
              <w:rPr>
                <w:b/>
                <w:bCs/>
                <w:szCs w:val="21"/>
              </w:rPr>
              <w:t>充电桩铁质外壳，暴露的铁质支架、零件以及非铁质的金属外壳等按要求进行试验，试后试样表面应无任何锈迹。</w:t>
            </w:r>
            <w:r>
              <w:rPr>
                <w:rFonts w:hint="eastAsia" w:ascii="宋体" w:hAnsi="宋体"/>
                <w:b/>
                <w:bCs/>
                <w:szCs w:val="21"/>
              </w:rPr>
              <w:t>（提供第三方检测机构出具的带有C</w:t>
            </w:r>
            <w:r>
              <w:rPr>
                <w:rFonts w:ascii="宋体" w:hAnsi="宋体"/>
                <w:b/>
                <w:bCs/>
                <w:szCs w:val="21"/>
              </w:rPr>
              <w:t>MA</w:t>
            </w:r>
            <w:r>
              <w:rPr>
                <w:rFonts w:hint="eastAsia" w:ascii="宋体" w:hAnsi="宋体"/>
                <w:b/>
                <w:bCs/>
                <w:szCs w:val="21"/>
              </w:rPr>
              <w:t>和C</w:t>
            </w:r>
            <w:r>
              <w:rPr>
                <w:rFonts w:ascii="宋体" w:hAnsi="宋体"/>
                <w:b/>
                <w:bCs/>
                <w:szCs w:val="21"/>
              </w:rPr>
              <w:t>NAS</w:t>
            </w:r>
            <w:r>
              <w:rPr>
                <w:rFonts w:hint="eastAsia" w:ascii="宋体" w:hAnsi="宋体"/>
                <w:b/>
                <w:bCs/>
                <w:szCs w:val="21"/>
              </w:rPr>
              <w:t>标识的7k</w:t>
            </w:r>
            <w:r>
              <w:rPr>
                <w:rFonts w:ascii="宋体" w:hAnsi="宋体"/>
                <w:b/>
                <w:bCs/>
                <w:szCs w:val="21"/>
              </w:rPr>
              <w:t>W</w:t>
            </w:r>
            <w:r>
              <w:rPr>
                <w:rFonts w:hint="eastAsia" w:ascii="宋体" w:hAnsi="宋体"/>
                <w:b/>
                <w:bCs/>
                <w:szCs w:val="21"/>
              </w:rPr>
              <w:t>交流充电桩C</w:t>
            </w:r>
            <w:r>
              <w:rPr>
                <w:rFonts w:ascii="宋体" w:hAnsi="宋体"/>
                <w:b/>
                <w:bCs/>
                <w:szCs w:val="21"/>
              </w:rPr>
              <w:t>QC</w:t>
            </w:r>
            <w:r>
              <w:rPr>
                <w:rFonts w:hint="eastAsia" w:ascii="宋体" w:hAnsi="宋体"/>
                <w:b/>
                <w:bCs/>
                <w:szCs w:val="21"/>
              </w:rPr>
              <w:t>实验报告）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511" w:type="dxa"/>
            <w:vAlign w:val="center"/>
          </w:tcPr>
          <w:p>
            <w:pPr>
              <w:topLinePunct/>
              <w:adjustRightInd w:val="0"/>
              <w:snapToGrid w:val="0"/>
              <w:jc w:val="center"/>
              <w:rPr>
                <w:rFonts w:ascii="宋体" w:hAnsi="宋体"/>
                <w:szCs w:val="21"/>
              </w:rPr>
            </w:pPr>
            <w:r>
              <w:rPr>
                <w:rFonts w:hint="eastAsia" w:ascii="宋体" w:hAnsi="宋体"/>
                <w:szCs w:val="21"/>
              </w:rPr>
              <w:t>15</w:t>
            </w:r>
          </w:p>
        </w:tc>
        <w:tc>
          <w:tcPr>
            <w:tcW w:w="778" w:type="dxa"/>
            <w:vMerge w:val="continue"/>
            <w:tcMar>
              <w:left w:w="57" w:type="dxa"/>
              <w:right w:w="57" w:type="dxa"/>
            </w:tcMar>
            <w:vAlign w:val="center"/>
          </w:tcPr>
          <w:p>
            <w:pPr>
              <w:topLinePunct/>
              <w:adjustRightInd w:val="0"/>
              <w:snapToGrid w:val="0"/>
              <w:jc w:val="center"/>
              <w:rPr>
                <w:rFonts w:ascii="宋体" w:hAnsi="宋体"/>
                <w:szCs w:val="21"/>
              </w:rPr>
            </w:pPr>
          </w:p>
        </w:tc>
        <w:tc>
          <w:tcPr>
            <w:tcW w:w="3119" w:type="dxa"/>
            <w:tcMar>
              <w:left w:w="57" w:type="dxa"/>
              <w:right w:w="57" w:type="dxa"/>
            </w:tcMar>
            <w:vAlign w:val="center"/>
          </w:tcPr>
          <w:p>
            <w:pPr>
              <w:topLinePunct/>
              <w:adjustRightInd w:val="0"/>
              <w:snapToGrid w:val="0"/>
              <w:jc w:val="center"/>
              <w:rPr>
                <w:rFonts w:ascii="宋体" w:hAnsi="宋体"/>
                <w:b/>
                <w:bCs/>
                <w:szCs w:val="21"/>
              </w:rPr>
            </w:pPr>
            <w:r>
              <w:rPr>
                <w:rFonts w:hint="eastAsia" w:ascii="宋体" w:hAnsi="宋体"/>
                <w:b/>
                <w:bCs/>
                <w:szCs w:val="21"/>
              </w:rPr>
              <w:t>★防水性</w:t>
            </w:r>
          </w:p>
        </w:tc>
        <w:tc>
          <w:tcPr>
            <w:tcW w:w="647" w:type="dxa"/>
            <w:tcMar>
              <w:left w:w="57" w:type="dxa"/>
              <w:right w:w="57" w:type="dxa"/>
            </w:tcMar>
            <w:vAlign w:val="center"/>
          </w:tcPr>
          <w:p>
            <w:pPr>
              <w:topLinePunct/>
              <w:adjustRightInd w:val="0"/>
              <w:snapToGrid w:val="0"/>
              <w:jc w:val="center"/>
              <w:rPr>
                <w:rFonts w:ascii="宋体" w:hAnsi="宋体"/>
                <w:b/>
                <w:bCs/>
                <w:szCs w:val="21"/>
              </w:rPr>
            </w:pPr>
          </w:p>
        </w:tc>
        <w:tc>
          <w:tcPr>
            <w:tcW w:w="3365" w:type="dxa"/>
            <w:tcMar>
              <w:left w:w="57" w:type="dxa"/>
              <w:right w:w="57" w:type="dxa"/>
            </w:tcMar>
            <w:vAlign w:val="center"/>
          </w:tcPr>
          <w:p>
            <w:pPr>
              <w:widowControl/>
              <w:rPr>
                <w:b/>
                <w:bCs/>
                <w:szCs w:val="21"/>
              </w:rPr>
            </w:pPr>
            <w:r>
              <w:rPr>
                <w:rFonts w:ascii="宋体" w:hAnsi="宋体"/>
                <w:b/>
                <w:bCs/>
                <w:szCs w:val="21"/>
              </w:rPr>
              <w:t>符合</w:t>
            </w:r>
            <w:r>
              <w:rPr>
                <w:b/>
                <w:bCs/>
                <w:szCs w:val="21"/>
              </w:rPr>
              <w:t>IPX5</w:t>
            </w:r>
            <w:r>
              <w:rPr>
                <w:rFonts w:hint="eastAsia" w:ascii="宋体" w:hAnsi="宋体"/>
                <w:b/>
                <w:bCs/>
                <w:szCs w:val="21"/>
              </w:rPr>
              <w:t>（提供第三方检测机构出具的带有C</w:t>
            </w:r>
            <w:r>
              <w:rPr>
                <w:rFonts w:ascii="宋体" w:hAnsi="宋体"/>
                <w:b/>
                <w:bCs/>
                <w:szCs w:val="21"/>
              </w:rPr>
              <w:t>MA</w:t>
            </w:r>
            <w:r>
              <w:rPr>
                <w:rFonts w:hint="eastAsia" w:ascii="宋体" w:hAnsi="宋体"/>
                <w:b/>
                <w:bCs/>
                <w:szCs w:val="21"/>
              </w:rPr>
              <w:t>和C</w:t>
            </w:r>
            <w:r>
              <w:rPr>
                <w:rFonts w:ascii="宋体" w:hAnsi="宋体"/>
                <w:b/>
                <w:bCs/>
                <w:szCs w:val="21"/>
              </w:rPr>
              <w:t>NAS</w:t>
            </w:r>
            <w:r>
              <w:rPr>
                <w:rFonts w:hint="eastAsia" w:ascii="宋体" w:hAnsi="宋体"/>
                <w:b/>
                <w:bCs/>
                <w:szCs w:val="21"/>
              </w:rPr>
              <w:t>标识的7k</w:t>
            </w:r>
            <w:r>
              <w:rPr>
                <w:rFonts w:ascii="宋体" w:hAnsi="宋体"/>
                <w:b/>
                <w:bCs/>
                <w:szCs w:val="21"/>
              </w:rPr>
              <w:t>W</w:t>
            </w:r>
            <w:r>
              <w:rPr>
                <w:rFonts w:hint="eastAsia" w:ascii="宋体" w:hAnsi="宋体"/>
                <w:b/>
                <w:bCs/>
                <w:szCs w:val="21"/>
              </w:rPr>
              <w:t>交流充电桩C</w:t>
            </w:r>
            <w:r>
              <w:rPr>
                <w:rFonts w:ascii="宋体" w:hAnsi="宋体"/>
                <w:b/>
                <w:bCs/>
                <w:szCs w:val="21"/>
              </w:rPr>
              <w:t>QC</w:t>
            </w:r>
            <w:r>
              <w:rPr>
                <w:rFonts w:hint="eastAsia" w:ascii="宋体" w:hAnsi="宋体"/>
                <w:b/>
                <w:bCs/>
                <w:szCs w:val="21"/>
              </w:rPr>
              <w:t>实验报告）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511" w:type="dxa"/>
            <w:vAlign w:val="center"/>
          </w:tcPr>
          <w:p>
            <w:pPr>
              <w:topLinePunct/>
              <w:adjustRightInd w:val="0"/>
              <w:snapToGrid w:val="0"/>
              <w:jc w:val="center"/>
              <w:rPr>
                <w:rFonts w:ascii="宋体" w:hAnsi="宋体"/>
                <w:szCs w:val="21"/>
              </w:rPr>
            </w:pPr>
            <w:r>
              <w:rPr>
                <w:rFonts w:hint="eastAsia" w:ascii="宋体" w:hAnsi="宋体"/>
                <w:szCs w:val="21"/>
              </w:rPr>
              <w:t>16</w:t>
            </w:r>
          </w:p>
        </w:tc>
        <w:tc>
          <w:tcPr>
            <w:tcW w:w="778" w:type="dxa"/>
            <w:vMerge w:val="continue"/>
            <w:tcMar>
              <w:left w:w="57" w:type="dxa"/>
              <w:right w:w="57" w:type="dxa"/>
            </w:tcMar>
            <w:vAlign w:val="center"/>
          </w:tcPr>
          <w:p>
            <w:pPr>
              <w:topLinePunct/>
              <w:adjustRightInd w:val="0"/>
              <w:snapToGrid w:val="0"/>
              <w:jc w:val="center"/>
              <w:rPr>
                <w:rFonts w:ascii="宋体" w:hAnsi="宋体"/>
                <w:szCs w:val="21"/>
              </w:rPr>
            </w:pPr>
          </w:p>
        </w:tc>
        <w:tc>
          <w:tcPr>
            <w:tcW w:w="3119" w:type="dxa"/>
            <w:tcMar>
              <w:left w:w="57" w:type="dxa"/>
              <w:right w:w="57" w:type="dxa"/>
            </w:tcMar>
            <w:vAlign w:val="center"/>
          </w:tcPr>
          <w:p>
            <w:pPr>
              <w:topLinePunct/>
              <w:adjustRightInd w:val="0"/>
              <w:snapToGrid w:val="0"/>
              <w:jc w:val="center"/>
              <w:rPr>
                <w:rFonts w:ascii="宋体" w:hAnsi="宋体"/>
                <w:b/>
                <w:bCs/>
                <w:szCs w:val="21"/>
              </w:rPr>
            </w:pPr>
            <w:r>
              <w:rPr>
                <w:rFonts w:hint="eastAsia" w:ascii="宋体" w:hAnsi="宋体"/>
                <w:b/>
                <w:bCs/>
                <w:szCs w:val="21"/>
              </w:rPr>
              <w:t>★待机功耗</w:t>
            </w:r>
          </w:p>
        </w:tc>
        <w:tc>
          <w:tcPr>
            <w:tcW w:w="647" w:type="dxa"/>
            <w:tcMar>
              <w:left w:w="57" w:type="dxa"/>
              <w:right w:w="57" w:type="dxa"/>
            </w:tcMar>
            <w:vAlign w:val="center"/>
          </w:tcPr>
          <w:p>
            <w:pPr>
              <w:topLinePunct/>
              <w:adjustRightInd w:val="0"/>
              <w:snapToGrid w:val="0"/>
              <w:jc w:val="center"/>
              <w:rPr>
                <w:rFonts w:ascii="宋体" w:hAnsi="宋体"/>
                <w:b/>
                <w:bCs/>
                <w:szCs w:val="21"/>
              </w:rPr>
            </w:pPr>
            <w:r>
              <w:rPr>
                <w:rFonts w:hint="eastAsia" w:ascii="宋体" w:hAnsi="宋体"/>
                <w:b/>
                <w:bCs/>
                <w:szCs w:val="21"/>
              </w:rPr>
              <w:t>W</w:t>
            </w:r>
          </w:p>
        </w:tc>
        <w:tc>
          <w:tcPr>
            <w:tcW w:w="3365" w:type="dxa"/>
            <w:tcMar>
              <w:left w:w="57" w:type="dxa"/>
              <w:right w:w="57" w:type="dxa"/>
            </w:tcMar>
            <w:vAlign w:val="center"/>
          </w:tcPr>
          <w:p>
            <w:pPr>
              <w:topLinePunct/>
              <w:adjustRightInd w:val="0"/>
              <w:snapToGrid w:val="0"/>
              <w:rPr>
                <w:rFonts w:ascii="宋体" w:hAnsi="宋体"/>
                <w:b/>
                <w:bCs/>
                <w:szCs w:val="21"/>
              </w:rPr>
            </w:pPr>
            <w:r>
              <w:rPr>
                <w:rFonts w:hint="eastAsia" w:ascii="宋体" w:hAnsi="宋体"/>
                <w:b/>
                <w:bCs/>
                <w:szCs w:val="21"/>
              </w:rPr>
              <w:t>≤</w:t>
            </w:r>
            <w:r>
              <w:rPr>
                <w:rFonts w:ascii="宋体" w:hAnsi="宋体"/>
                <w:b/>
                <w:bCs/>
                <w:szCs w:val="21"/>
              </w:rPr>
              <w:t>7</w:t>
            </w:r>
            <w:r>
              <w:rPr>
                <w:rFonts w:hint="eastAsia" w:ascii="宋体" w:hAnsi="宋体"/>
                <w:b/>
                <w:bCs/>
                <w:szCs w:val="21"/>
              </w:rPr>
              <w:t>（提供第三方检测机构出具的带有C</w:t>
            </w:r>
            <w:r>
              <w:rPr>
                <w:rFonts w:ascii="宋体" w:hAnsi="宋体"/>
                <w:b/>
                <w:bCs/>
                <w:szCs w:val="21"/>
              </w:rPr>
              <w:t>MA</w:t>
            </w:r>
            <w:r>
              <w:rPr>
                <w:rFonts w:hint="eastAsia" w:ascii="宋体" w:hAnsi="宋体"/>
                <w:b/>
                <w:bCs/>
                <w:szCs w:val="21"/>
              </w:rPr>
              <w:t>和C</w:t>
            </w:r>
            <w:r>
              <w:rPr>
                <w:rFonts w:ascii="宋体" w:hAnsi="宋体"/>
                <w:b/>
                <w:bCs/>
                <w:szCs w:val="21"/>
              </w:rPr>
              <w:t>NAS</w:t>
            </w:r>
            <w:r>
              <w:rPr>
                <w:rFonts w:hint="eastAsia" w:ascii="宋体" w:hAnsi="宋体"/>
                <w:b/>
                <w:bCs/>
                <w:szCs w:val="21"/>
              </w:rPr>
              <w:t>标识的7k</w:t>
            </w:r>
            <w:r>
              <w:rPr>
                <w:rFonts w:ascii="宋体" w:hAnsi="宋体"/>
                <w:b/>
                <w:bCs/>
                <w:szCs w:val="21"/>
              </w:rPr>
              <w:t>W</w:t>
            </w:r>
            <w:r>
              <w:rPr>
                <w:rFonts w:hint="eastAsia" w:ascii="宋体" w:hAnsi="宋体"/>
                <w:b/>
                <w:bCs/>
                <w:szCs w:val="21"/>
              </w:rPr>
              <w:t>交流充电桩C</w:t>
            </w:r>
            <w:r>
              <w:rPr>
                <w:rFonts w:ascii="宋体" w:hAnsi="宋体"/>
                <w:b/>
                <w:bCs/>
                <w:szCs w:val="21"/>
              </w:rPr>
              <w:t>QC</w:t>
            </w:r>
            <w:r>
              <w:rPr>
                <w:rFonts w:hint="eastAsia" w:ascii="宋体" w:hAnsi="宋体"/>
                <w:b/>
                <w:bCs/>
                <w:szCs w:val="21"/>
              </w:rPr>
              <w:t>实验报告）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511" w:type="dxa"/>
            <w:vAlign w:val="center"/>
          </w:tcPr>
          <w:p>
            <w:pPr>
              <w:topLinePunct/>
              <w:adjustRightInd w:val="0"/>
              <w:snapToGrid w:val="0"/>
              <w:jc w:val="center"/>
              <w:rPr>
                <w:rFonts w:ascii="宋体" w:hAnsi="宋体"/>
                <w:szCs w:val="21"/>
              </w:rPr>
            </w:pPr>
            <w:r>
              <w:rPr>
                <w:rFonts w:hint="eastAsia" w:ascii="宋体" w:hAnsi="宋体"/>
                <w:szCs w:val="21"/>
              </w:rPr>
              <w:t>17</w:t>
            </w:r>
          </w:p>
        </w:tc>
        <w:tc>
          <w:tcPr>
            <w:tcW w:w="778" w:type="dxa"/>
            <w:vMerge w:val="continue"/>
            <w:tcMar>
              <w:left w:w="57" w:type="dxa"/>
              <w:right w:w="57" w:type="dxa"/>
            </w:tcMar>
            <w:vAlign w:val="center"/>
          </w:tcPr>
          <w:p>
            <w:pPr>
              <w:topLinePunct/>
              <w:adjustRightInd w:val="0"/>
              <w:snapToGrid w:val="0"/>
              <w:jc w:val="center"/>
              <w:rPr>
                <w:rFonts w:ascii="宋体" w:hAnsi="宋体"/>
                <w:szCs w:val="21"/>
              </w:rPr>
            </w:pPr>
          </w:p>
        </w:tc>
        <w:tc>
          <w:tcPr>
            <w:tcW w:w="3119" w:type="dxa"/>
            <w:tcMar>
              <w:left w:w="57" w:type="dxa"/>
              <w:right w:w="57" w:type="dxa"/>
            </w:tcMar>
            <w:vAlign w:val="center"/>
          </w:tcPr>
          <w:p>
            <w:pPr>
              <w:topLinePunct/>
              <w:adjustRightInd w:val="0"/>
              <w:snapToGrid w:val="0"/>
              <w:jc w:val="center"/>
              <w:rPr>
                <w:rFonts w:ascii="宋体" w:hAnsi="宋体"/>
                <w:b/>
                <w:bCs/>
                <w:szCs w:val="21"/>
              </w:rPr>
            </w:pPr>
            <w:r>
              <w:rPr>
                <w:rFonts w:hint="eastAsia" w:ascii="宋体" w:hAnsi="宋体"/>
                <w:b/>
                <w:bCs/>
                <w:szCs w:val="21"/>
              </w:rPr>
              <w:t>★噪声</w:t>
            </w:r>
          </w:p>
        </w:tc>
        <w:tc>
          <w:tcPr>
            <w:tcW w:w="647" w:type="dxa"/>
            <w:tcMar>
              <w:left w:w="57" w:type="dxa"/>
              <w:right w:w="57" w:type="dxa"/>
            </w:tcMar>
            <w:vAlign w:val="center"/>
          </w:tcPr>
          <w:p>
            <w:pPr>
              <w:topLinePunct/>
              <w:adjustRightInd w:val="0"/>
              <w:snapToGrid w:val="0"/>
              <w:jc w:val="center"/>
              <w:rPr>
                <w:rFonts w:ascii="宋体" w:hAnsi="宋体"/>
                <w:b/>
                <w:bCs/>
                <w:szCs w:val="21"/>
              </w:rPr>
            </w:pPr>
            <w:r>
              <w:rPr>
                <w:rFonts w:hint="eastAsia" w:ascii="宋体" w:hAnsi="宋体"/>
                <w:b/>
                <w:bCs/>
                <w:szCs w:val="21"/>
              </w:rPr>
              <w:t>dB</w:t>
            </w:r>
          </w:p>
        </w:tc>
        <w:tc>
          <w:tcPr>
            <w:tcW w:w="3365" w:type="dxa"/>
            <w:tcMar>
              <w:left w:w="57" w:type="dxa"/>
              <w:right w:w="57" w:type="dxa"/>
            </w:tcMar>
            <w:vAlign w:val="center"/>
          </w:tcPr>
          <w:p>
            <w:pPr>
              <w:topLinePunct/>
              <w:adjustRightInd w:val="0"/>
              <w:snapToGrid w:val="0"/>
              <w:rPr>
                <w:rFonts w:ascii="宋体" w:hAnsi="宋体"/>
                <w:b/>
                <w:bCs/>
                <w:szCs w:val="21"/>
              </w:rPr>
            </w:pPr>
            <w:r>
              <w:rPr>
                <w:rFonts w:hint="eastAsia" w:ascii="宋体" w:hAnsi="宋体"/>
                <w:b/>
                <w:bCs/>
                <w:szCs w:val="21"/>
              </w:rPr>
              <w:t>＜</w:t>
            </w:r>
            <w:r>
              <w:rPr>
                <w:rFonts w:ascii="宋体" w:hAnsi="宋体"/>
                <w:b/>
                <w:bCs/>
                <w:szCs w:val="21"/>
              </w:rPr>
              <w:t>40</w:t>
            </w:r>
            <w:r>
              <w:rPr>
                <w:rFonts w:hint="eastAsia" w:ascii="宋体" w:hAnsi="宋体"/>
                <w:b/>
                <w:bCs/>
                <w:szCs w:val="21"/>
              </w:rPr>
              <w:t>（提供第三方检测机构出具的带有C</w:t>
            </w:r>
            <w:r>
              <w:rPr>
                <w:rFonts w:ascii="宋体" w:hAnsi="宋体"/>
                <w:b/>
                <w:bCs/>
                <w:szCs w:val="21"/>
              </w:rPr>
              <w:t>MA</w:t>
            </w:r>
            <w:r>
              <w:rPr>
                <w:rFonts w:hint="eastAsia" w:ascii="宋体" w:hAnsi="宋体"/>
                <w:b/>
                <w:bCs/>
                <w:szCs w:val="21"/>
              </w:rPr>
              <w:t>和C</w:t>
            </w:r>
            <w:r>
              <w:rPr>
                <w:rFonts w:ascii="宋体" w:hAnsi="宋体"/>
                <w:b/>
                <w:bCs/>
                <w:szCs w:val="21"/>
              </w:rPr>
              <w:t>NAS</w:t>
            </w:r>
            <w:r>
              <w:rPr>
                <w:rFonts w:hint="eastAsia" w:ascii="宋体" w:hAnsi="宋体"/>
                <w:b/>
                <w:bCs/>
                <w:szCs w:val="21"/>
              </w:rPr>
              <w:t>标识的7k</w:t>
            </w:r>
            <w:r>
              <w:rPr>
                <w:rFonts w:ascii="宋体" w:hAnsi="宋体"/>
                <w:b/>
                <w:bCs/>
                <w:szCs w:val="21"/>
              </w:rPr>
              <w:t>W</w:t>
            </w:r>
            <w:r>
              <w:rPr>
                <w:rFonts w:hint="eastAsia" w:ascii="宋体" w:hAnsi="宋体"/>
                <w:b/>
                <w:bCs/>
                <w:szCs w:val="21"/>
              </w:rPr>
              <w:t>交流充电桩C</w:t>
            </w:r>
            <w:r>
              <w:rPr>
                <w:rFonts w:ascii="宋体" w:hAnsi="宋体"/>
                <w:b/>
                <w:bCs/>
                <w:szCs w:val="21"/>
              </w:rPr>
              <w:t>QC</w:t>
            </w:r>
            <w:r>
              <w:rPr>
                <w:rFonts w:hint="eastAsia" w:ascii="宋体" w:hAnsi="宋体"/>
                <w:b/>
                <w:bCs/>
                <w:szCs w:val="21"/>
              </w:rPr>
              <w:t>实验报告）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511" w:type="dxa"/>
            <w:vAlign w:val="center"/>
          </w:tcPr>
          <w:p>
            <w:pPr>
              <w:topLinePunct/>
              <w:adjustRightInd w:val="0"/>
              <w:snapToGrid w:val="0"/>
              <w:jc w:val="center"/>
              <w:rPr>
                <w:rFonts w:ascii="宋体" w:hAnsi="宋体"/>
                <w:szCs w:val="21"/>
              </w:rPr>
            </w:pPr>
            <w:r>
              <w:rPr>
                <w:rFonts w:hint="eastAsia" w:ascii="宋体" w:hAnsi="宋体"/>
                <w:szCs w:val="21"/>
              </w:rPr>
              <w:t>18</w:t>
            </w:r>
          </w:p>
        </w:tc>
        <w:tc>
          <w:tcPr>
            <w:tcW w:w="778" w:type="dxa"/>
            <w:vMerge w:val="continue"/>
            <w:tcMar>
              <w:left w:w="57" w:type="dxa"/>
              <w:right w:w="57" w:type="dxa"/>
            </w:tcMar>
            <w:vAlign w:val="center"/>
          </w:tcPr>
          <w:p>
            <w:pPr>
              <w:topLinePunct/>
              <w:adjustRightInd w:val="0"/>
              <w:snapToGrid w:val="0"/>
              <w:jc w:val="center"/>
              <w:rPr>
                <w:rFonts w:ascii="宋体" w:hAnsi="宋体"/>
                <w:szCs w:val="21"/>
              </w:rPr>
            </w:pPr>
          </w:p>
        </w:tc>
        <w:tc>
          <w:tcPr>
            <w:tcW w:w="3119" w:type="dxa"/>
            <w:tcMar>
              <w:left w:w="57" w:type="dxa"/>
              <w:right w:w="57" w:type="dxa"/>
            </w:tcMar>
            <w:vAlign w:val="center"/>
          </w:tcPr>
          <w:p>
            <w:pPr>
              <w:topLinePunct/>
              <w:adjustRightInd w:val="0"/>
              <w:snapToGrid w:val="0"/>
              <w:jc w:val="center"/>
              <w:rPr>
                <w:rFonts w:ascii="宋体" w:hAnsi="宋体"/>
                <w:szCs w:val="21"/>
              </w:rPr>
            </w:pPr>
            <w:r>
              <w:rPr>
                <w:rFonts w:hint="eastAsia" w:ascii="宋体" w:hAnsi="宋体"/>
                <w:szCs w:val="21"/>
              </w:rPr>
              <w:t>充电接口</w:t>
            </w:r>
          </w:p>
        </w:tc>
        <w:tc>
          <w:tcPr>
            <w:tcW w:w="647" w:type="dxa"/>
            <w:tcMar>
              <w:left w:w="57" w:type="dxa"/>
              <w:right w:w="57" w:type="dxa"/>
            </w:tcMar>
            <w:vAlign w:val="center"/>
          </w:tcPr>
          <w:p>
            <w:pPr>
              <w:topLinePunct/>
              <w:adjustRightInd w:val="0"/>
              <w:snapToGrid w:val="0"/>
              <w:jc w:val="center"/>
              <w:rPr>
                <w:rFonts w:ascii="宋体" w:hAnsi="宋体"/>
                <w:szCs w:val="21"/>
              </w:rPr>
            </w:pPr>
          </w:p>
        </w:tc>
        <w:tc>
          <w:tcPr>
            <w:tcW w:w="3365" w:type="dxa"/>
            <w:tcMar>
              <w:left w:w="57" w:type="dxa"/>
              <w:right w:w="57" w:type="dxa"/>
            </w:tcMar>
            <w:vAlign w:val="center"/>
          </w:tcPr>
          <w:p>
            <w:pPr>
              <w:topLinePunct/>
              <w:adjustRightInd w:val="0"/>
              <w:snapToGrid w:val="0"/>
              <w:jc w:val="center"/>
              <w:rPr>
                <w:rFonts w:ascii="宋体" w:hAnsi="宋体"/>
                <w:szCs w:val="21"/>
              </w:rPr>
            </w:pPr>
            <w:r>
              <w:rPr>
                <w:rFonts w:ascii="宋体" w:hAnsi="宋体"/>
                <w:szCs w:val="21"/>
              </w:rPr>
              <w:t>满足</w:t>
            </w:r>
            <w:r>
              <w:rPr>
                <w:rFonts w:hint="eastAsia" w:ascii="宋体" w:hAnsi="宋体"/>
                <w:szCs w:val="21"/>
              </w:rPr>
              <w:t>GB/T20234.1-2015</w:t>
            </w:r>
          </w:p>
          <w:p>
            <w:pPr>
              <w:topLinePunct/>
              <w:adjustRightInd w:val="0"/>
              <w:snapToGrid w:val="0"/>
              <w:jc w:val="center"/>
              <w:rPr>
                <w:rFonts w:ascii="宋体" w:hAnsi="宋体"/>
                <w:szCs w:val="21"/>
              </w:rPr>
            </w:pPr>
            <w:r>
              <w:rPr>
                <w:rFonts w:hint="eastAsia" w:ascii="宋体" w:hAnsi="宋体"/>
                <w:szCs w:val="21"/>
              </w:rPr>
              <w:t>GB/T20234.2-2015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511" w:type="dxa"/>
            <w:vAlign w:val="center"/>
          </w:tcPr>
          <w:p>
            <w:pPr>
              <w:topLinePunct/>
              <w:adjustRightInd w:val="0"/>
              <w:snapToGrid w:val="0"/>
              <w:jc w:val="center"/>
              <w:rPr>
                <w:rFonts w:ascii="宋体" w:hAnsi="宋体"/>
                <w:szCs w:val="21"/>
              </w:rPr>
            </w:pPr>
            <w:r>
              <w:rPr>
                <w:rFonts w:hint="eastAsia" w:ascii="宋体" w:hAnsi="宋体"/>
                <w:szCs w:val="21"/>
              </w:rPr>
              <w:t>19</w:t>
            </w:r>
          </w:p>
        </w:tc>
        <w:tc>
          <w:tcPr>
            <w:tcW w:w="778" w:type="dxa"/>
            <w:vMerge w:val="continue"/>
            <w:tcMar>
              <w:left w:w="57" w:type="dxa"/>
              <w:right w:w="57" w:type="dxa"/>
            </w:tcMar>
            <w:vAlign w:val="center"/>
          </w:tcPr>
          <w:p>
            <w:pPr>
              <w:topLinePunct/>
              <w:adjustRightInd w:val="0"/>
              <w:snapToGrid w:val="0"/>
              <w:jc w:val="center"/>
              <w:rPr>
                <w:rFonts w:ascii="宋体" w:hAnsi="宋体"/>
                <w:szCs w:val="21"/>
              </w:rPr>
            </w:pPr>
          </w:p>
        </w:tc>
        <w:tc>
          <w:tcPr>
            <w:tcW w:w="3119" w:type="dxa"/>
            <w:tcMar>
              <w:left w:w="57" w:type="dxa"/>
              <w:right w:w="57" w:type="dxa"/>
            </w:tcMar>
            <w:vAlign w:val="center"/>
          </w:tcPr>
          <w:p>
            <w:pPr>
              <w:topLinePunct/>
              <w:adjustRightInd w:val="0"/>
              <w:snapToGrid w:val="0"/>
              <w:jc w:val="center"/>
              <w:rPr>
                <w:rFonts w:ascii="宋体" w:hAnsi="宋体"/>
                <w:szCs w:val="21"/>
              </w:rPr>
            </w:pPr>
            <w:r>
              <w:rPr>
                <w:rFonts w:hint="eastAsia" w:ascii="宋体" w:hAnsi="宋体"/>
                <w:szCs w:val="21"/>
              </w:rPr>
              <w:t>支付方式</w:t>
            </w:r>
          </w:p>
        </w:tc>
        <w:tc>
          <w:tcPr>
            <w:tcW w:w="647" w:type="dxa"/>
            <w:tcMar>
              <w:left w:w="57" w:type="dxa"/>
              <w:right w:w="57" w:type="dxa"/>
            </w:tcMar>
            <w:vAlign w:val="center"/>
          </w:tcPr>
          <w:p>
            <w:pPr>
              <w:topLinePunct/>
              <w:adjustRightInd w:val="0"/>
              <w:snapToGrid w:val="0"/>
              <w:jc w:val="center"/>
              <w:rPr>
                <w:rFonts w:ascii="宋体" w:hAnsi="宋体"/>
                <w:szCs w:val="21"/>
              </w:rPr>
            </w:pPr>
          </w:p>
        </w:tc>
        <w:tc>
          <w:tcPr>
            <w:tcW w:w="3365" w:type="dxa"/>
            <w:tcMar>
              <w:left w:w="57" w:type="dxa"/>
              <w:right w:w="57" w:type="dxa"/>
            </w:tcMar>
            <w:vAlign w:val="center"/>
          </w:tcPr>
          <w:p>
            <w:pPr>
              <w:topLinePunct/>
              <w:adjustRightInd w:val="0"/>
              <w:snapToGrid w:val="0"/>
              <w:jc w:val="center"/>
              <w:rPr>
                <w:rFonts w:ascii="宋体" w:hAnsi="宋体"/>
                <w:szCs w:val="21"/>
              </w:rPr>
            </w:pPr>
            <w:r>
              <w:rPr>
                <w:rFonts w:hint="eastAsia" w:ascii="宋体" w:hAnsi="宋体"/>
                <w:szCs w:val="21"/>
              </w:rPr>
              <w:t>基本的普通刷卡充电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511" w:type="dxa"/>
            <w:vAlign w:val="center"/>
          </w:tcPr>
          <w:p>
            <w:pPr>
              <w:topLinePunct/>
              <w:adjustRightInd w:val="0"/>
              <w:snapToGrid w:val="0"/>
              <w:jc w:val="center"/>
              <w:rPr>
                <w:rFonts w:ascii="宋体" w:hAnsi="宋体"/>
                <w:szCs w:val="21"/>
              </w:rPr>
            </w:pPr>
            <w:r>
              <w:rPr>
                <w:rFonts w:hint="eastAsia" w:ascii="宋体" w:hAnsi="宋体"/>
                <w:szCs w:val="21"/>
              </w:rPr>
              <w:t>20</w:t>
            </w:r>
          </w:p>
        </w:tc>
        <w:tc>
          <w:tcPr>
            <w:tcW w:w="778" w:type="dxa"/>
            <w:vMerge w:val="continue"/>
            <w:tcMar>
              <w:left w:w="57" w:type="dxa"/>
              <w:right w:w="57" w:type="dxa"/>
            </w:tcMar>
            <w:vAlign w:val="center"/>
          </w:tcPr>
          <w:p>
            <w:pPr>
              <w:topLinePunct/>
              <w:adjustRightInd w:val="0"/>
              <w:snapToGrid w:val="0"/>
              <w:jc w:val="center"/>
              <w:rPr>
                <w:rFonts w:ascii="宋体" w:hAnsi="宋体"/>
                <w:szCs w:val="21"/>
              </w:rPr>
            </w:pPr>
          </w:p>
        </w:tc>
        <w:tc>
          <w:tcPr>
            <w:tcW w:w="3119" w:type="dxa"/>
            <w:tcMar>
              <w:left w:w="57" w:type="dxa"/>
              <w:right w:w="57" w:type="dxa"/>
            </w:tcMar>
            <w:vAlign w:val="center"/>
          </w:tcPr>
          <w:p>
            <w:pPr>
              <w:topLinePunct/>
              <w:adjustRightInd w:val="0"/>
              <w:snapToGrid w:val="0"/>
              <w:jc w:val="center"/>
              <w:rPr>
                <w:rFonts w:ascii="宋体" w:hAnsi="宋体"/>
                <w:szCs w:val="21"/>
              </w:rPr>
            </w:pPr>
            <w:r>
              <w:rPr>
                <w:rFonts w:hint="eastAsia" w:ascii="宋体" w:hAnsi="宋体"/>
                <w:szCs w:val="21"/>
              </w:rPr>
              <w:t>充电方式</w:t>
            </w:r>
          </w:p>
        </w:tc>
        <w:tc>
          <w:tcPr>
            <w:tcW w:w="647" w:type="dxa"/>
            <w:tcMar>
              <w:left w:w="57" w:type="dxa"/>
              <w:right w:w="57" w:type="dxa"/>
            </w:tcMar>
            <w:vAlign w:val="center"/>
          </w:tcPr>
          <w:p>
            <w:pPr>
              <w:topLinePunct/>
              <w:adjustRightInd w:val="0"/>
              <w:snapToGrid w:val="0"/>
              <w:jc w:val="center"/>
              <w:rPr>
                <w:rFonts w:ascii="宋体" w:hAnsi="宋体"/>
                <w:szCs w:val="21"/>
              </w:rPr>
            </w:pPr>
          </w:p>
        </w:tc>
        <w:tc>
          <w:tcPr>
            <w:tcW w:w="3365" w:type="dxa"/>
            <w:tcMar>
              <w:left w:w="57" w:type="dxa"/>
              <w:right w:w="57" w:type="dxa"/>
            </w:tcMar>
            <w:vAlign w:val="center"/>
          </w:tcPr>
          <w:p>
            <w:pPr>
              <w:topLinePunct/>
              <w:adjustRightInd w:val="0"/>
              <w:snapToGrid w:val="0"/>
              <w:jc w:val="center"/>
              <w:rPr>
                <w:rFonts w:ascii="宋体" w:hAnsi="宋体"/>
                <w:szCs w:val="21"/>
              </w:rPr>
            </w:pPr>
            <w:r>
              <w:rPr>
                <w:rFonts w:hint="eastAsia" w:ascii="宋体" w:hAnsi="宋体"/>
                <w:szCs w:val="21"/>
              </w:rPr>
              <w:t>自动充满、按金额、电量、时间充电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511" w:type="dxa"/>
            <w:vAlign w:val="center"/>
          </w:tcPr>
          <w:p>
            <w:pPr>
              <w:topLinePunct/>
              <w:adjustRightInd w:val="0"/>
              <w:snapToGrid w:val="0"/>
              <w:jc w:val="center"/>
              <w:rPr>
                <w:rFonts w:ascii="宋体" w:hAnsi="宋体"/>
                <w:szCs w:val="21"/>
              </w:rPr>
            </w:pPr>
            <w:r>
              <w:rPr>
                <w:rFonts w:hint="eastAsia" w:ascii="宋体" w:hAnsi="宋体"/>
                <w:szCs w:val="21"/>
              </w:rPr>
              <w:t>2</w:t>
            </w:r>
            <w:r>
              <w:rPr>
                <w:rFonts w:ascii="宋体" w:hAnsi="宋体"/>
                <w:szCs w:val="21"/>
              </w:rPr>
              <w:t>1</w:t>
            </w:r>
          </w:p>
        </w:tc>
        <w:tc>
          <w:tcPr>
            <w:tcW w:w="778" w:type="dxa"/>
            <w:vMerge w:val="continue"/>
            <w:tcMar>
              <w:left w:w="57" w:type="dxa"/>
              <w:right w:w="57" w:type="dxa"/>
            </w:tcMar>
            <w:vAlign w:val="center"/>
          </w:tcPr>
          <w:p>
            <w:pPr>
              <w:topLinePunct/>
              <w:adjustRightInd w:val="0"/>
              <w:snapToGrid w:val="0"/>
              <w:jc w:val="center"/>
              <w:rPr>
                <w:rFonts w:ascii="宋体" w:hAnsi="宋体"/>
                <w:szCs w:val="21"/>
              </w:rPr>
            </w:pPr>
          </w:p>
        </w:tc>
        <w:tc>
          <w:tcPr>
            <w:tcW w:w="3119" w:type="dxa"/>
            <w:tcMar>
              <w:left w:w="57" w:type="dxa"/>
              <w:right w:w="57" w:type="dxa"/>
            </w:tcMar>
            <w:vAlign w:val="center"/>
          </w:tcPr>
          <w:p>
            <w:pPr>
              <w:topLinePunct/>
              <w:adjustRightInd w:val="0"/>
              <w:snapToGrid w:val="0"/>
              <w:jc w:val="center"/>
              <w:rPr>
                <w:rFonts w:ascii="宋体" w:hAnsi="宋体"/>
                <w:szCs w:val="21"/>
              </w:rPr>
            </w:pPr>
            <w:r>
              <w:rPr>
                <w:rFonts w:hint="eastAsia" w:ascii="宋体" w:hAnsi="宋体"/>
                <w:szCs w:val="21"/>
              </w:rPr>
              <w:t>介电强度</w:t>
            </w:r>
          </w:p>
        </w:tc>
        <w:tc>
          <w:tcPr>
            <w:tcW w:w="647" w:type="dxa"/>
            <w:tcMar>
              <w:left w:w="57" w:type="dxa"/>
              <w:right w:w="57" w:type="dxa"/>
            </w:tcMar>
            <w:vAlign w:val="center"/>
          </w:tcPr>
          <w:p>
            <w:pPr>
              <w:topLinePunct/>
              <w:adjustRightInd w:val="0"/>
              <w:snapToGrid w:val="0"/>
              <w:jc w:val="center"/>
              <w:rPr>
                <w:rFonts w:ascii="宋体" w:hAnsi="宋体"/>
                <w:szCs w:val="21"/>
              </w:rPr>
            </w:pPr>
          </w:p>
        </w:tc>
        <w:tc>
          <w:tcPr>
            <w:tcW w:w="3365" w:type="dxa"/>
            <w:tcMar>
              <w:left w:w="57" w:type="dxa"/>
              <w:right w:w="57" w:type="dxa"/>
            </w:tcMar>
            <w:vAlign w:val="center"/>
          </w:tcPr>
          <w:p>
            <w:pPr>
              <w:topLinePunct/>
              <w:adjustRightInd w:val="0"/>
              <w:snapToGrid w:val="0"/>
              <w:jc w:val="center"/>
              <w:rPr>
                <w:rFonts w:ascii="宋体" w:hAnsi="宋体"/>
                <w:szCs w:val="21"/>
              </w:rPr>
            </w:pPr>
            <w:r>
              <w:rPr>
                <w:rFonts w:ascii="宋体" w:hAnsi="宋体"/>
                <w:szCs w:val="21"/>
              </w:rPr>
              <w:t>≥</w:t>
            </w:r>
            <w:r>
              <w:rPr>
                <w:rFonts w:hint="eastAsia" w:ascii="宋体" w:hAnsi="宋体"/>
                <w:szCs w:val="21"/>
              </w:rPr>
              <w:t>2000V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511" w:type="dxa"/>
            <w:vAlign w:val="center"/>
          </w:tcPr>
          <w:p>
            <w:pPr>
              <w:topLinePunct/>
              <w:adjustRightInd w:val="0"/>
              <w:snapToGrid w:val="0"/>
              <w:jc w:val="center"/>
              <w:rPr>
                <w:rFonts w:ascii="宋体" w:hAnsi="宋体"/>
                <w:szCs w:val="21"/>
              </w:rPr>
            </w:pPr>
            <w:r>
              <w:rPr>
                <w:rFonts w:hint="eastAsia" w:ascii="宋体" w:hAnsi="宋体"/>
                <w:szCs w:val="21"/>
              </w:rPr>
              <w:t>2</w:t>
            </w:r>
            <w:r>
              <w:rPr>
                <w:rFonts w:ascii="宋体" w:hAnsi="宋体"/>
                <w:szCs w:val="21"/>
              </w:rPr>
              <w:t>2</w:t>
            </w:r>
          </w:p>
        </w:tc>
        <w:tc>
          <w:tcPr>
            <w:tcW w:w="778" w:type="dxa"/>
            <w:vMerge w:val="continue"/>
            <w:tcMar>
              <w:left w:w="57" w:type="dxa"/>
              <w:right w:w="57" w:type="dxa"/>
            </w:tcMar>
            <w:vAlign w:val="center"/>
          </w:tcPr>
          <w:p>
            <w:pPr>
              <w:topLinePunct/>
              <w:adjustRightInd w:val="0"/>
              <w:snapToGrid w:val="0"/>
              <w:jc w:val="center"/>
              <w:rPr>
                <w:rFonts w:ascii="宋体" w:hAnsi="宋体"/>
                <w:szCs w:val="21"/>
              </w:rPr>
            </w:pPr>
          </w:p>
        </w:tc>
        <w:tc>
          <w:tcPr>
            <w:tcW w:w="3119" w:type="dxa"/>
            <w:tcMar>
              <w:left w:w="57" w:type="dxa"/>
              <w:right w:w="57" w:type="dxa"/>
            </w:tcMar>
            <w:vAlign w:val="center"/>
          </w:tcPr>
          <w:p>
            <w:pPr>
              <w:topLinePunct/>
              <w:adjustRightInd w:val="0"/>
              <w:snapToGrid w:val="0"/>
              <w:jc w:val="center"/>
              <w:rPr>
                <w:rFonts w:ascii="宋体" w:hAnsi="宋体"/>
                <w:szCs w:val="21"/>
              </w:rPr>
            </w:pPr>
            <w:r>
              <w:rPr>
                <w:rFonts w:hint="eastAsia" w:ascii="宋体" w:hAnsi="宋体"/>
                <w:szCs w:val="21"/>
              </w:rPr>
              <w:t>泄漏电流</w:t>
            </w:r>
          </w:p>
        </w:tc>
        <w:tc>
          <w:tcPr>
            <w:tcW w:w="647" w:type="dxa"/>
            <w:tcMar>
              <w:left w:w="57" w:type="dxa"/>
              <w:right w:w="57" w:type="dxa"/>
            </w:tcMar>
            <w:vAlign w:val="center"/>
          </w:tcPr>
          <w:p>
            <w:pPr>
              <w:topLinePunct/>
              <w:adjustRightInd w:val="0"/>
              <w:snapToGrid w:val="0"/>
              <w:jc w:val="center"/>
              <w:rPr>
                <w:rFonts w:ascii="宋体" w:hAnsi="宋体"/>
                <w:szCs w:val="21"/>
              </w:rPr>
            </w:pPr>
          </w:p>
        </w:tc>
        <w:tc>
          <w:tcPr>
            <w:tcW w:w="3365" w:type="dxa"/>
            <w:tcMar>
              <w:left w:w="57" w:type="dxa"/>
              <w:right w:w="57" w:type="dxa"/>
            </w:tcMar>
            <w:vAlign w:val="center"/>
          </w:tcPr>
          <w:p>
            <w:pPr>
              <w:topLinePunct/>
              <w:adjustRightInd w:val="0"/>
              <w:snapToGrid w:val="0"/>
              <w:jc w:val="center"/>
              <w:rPr>
                <w:rFonts w:ascii="宋体" w:hAnsi="宋体"/>
                <w:szCs w:val="21"/>
              </w:rPr>
            </w:pPr>
            <w:r>
              <w:rPr>
                <w:rFonts w:hint="eastAsia" w:ascii="宋体" w:hAnsi="宋体"/>
                <w:szCs w:val="21"/>
              </w:rPr>
              <w:t>≤3.5MA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511" w:type="dxa"/>
            <w:vAlign w:val="center"/>
          </w:tcPr>
          <w:p>
            <w:pPr>
              <w:topLinePunct/>
              <w:adjustRightInd w:val="0"/>
              <w:snapToGrid w:val="0"/>
              <w:jc w:val="center"/>
              <w:rPr>
                <w:rFonts w:ascii="宋体" w:hAnsi="宋体"/>
                <w:szCs w:val="21"/>
              </w:rPr>
            </w:pPr>
            <w:r>
              <w:rPr>
                <w:rFonts w:hint="eastAsia" w:ascii="宋体" w:hAnsi="宋体"/>
                <w:szCs w:val="21"/>
              </w:rPr>
              <w:t>2</w:t>
            </w:r>
            <w:r>
              <w:rPr>
                <w:rFonts w:ascii="宋体" w:hAnsi="宋体"/>
                <w:szCs w:val="21"/>
              </w:rPr>
              <w:t>3</w:t>
            </w:r>
          </w:p>
        </w:tc>
        <w:tc>
          <w:tcPr>
            <w:tcW w:w="778" w:type="dxa"/>
            <w:vMerge w:val="continue"/>
            <w:tcMar>
              <w:left w:w="57" w:type="dxa"/>
              <w:right w:w="57" w:type="dxa"/>
            </w:tcMar>
            <w:vAlign w:val="center"/>
          </w:tcPr>
          <w:p>
            <w:pPr>
              <w:topLinePunct/>
              <w:adjustRightInd w:val="0"/>
              <w:snapToGrid w:val="0"/>
              <w:jc w:val="center"/>
              <w:rPr>
                <w:rFonts w:ascii="宋体" w:hAnsi="宋体"/>
                <w:szCs w:val="21"/>
              </w:rPr>
            </w:pPr>
          </w:p>
        </w:tc>
        <w:tc>
          <w:tcPr>
            <w:tcW w:w="3119" w:type="dxa"/>
            <w:tcMar>
              <w:left w:w="57" w:type="dxa"/>
              <w:right w:w="57" w:type="dxa"/>
            </w:tcMar>
            <w:vAlign w:val="center"/>
          </w:tcPr>
          <w:p>
            <w:pPr>
              <w:topLinePunct/>
              <w:adjustRightInd w:val="0"/>
              <w:snapToGrid w:val="0"/>
              <w:jc w:val="center"/>
              <w:rPr>
                <w:rFonts w:ascii="宋体" w:hAnsi="宋体"/>
                <w:b/>
                <w:bCs/>
                <w:szCs w:val="21"/>
              </w:rPr>
            </w:pPr>
            <w:r>
              <w:rPr>
                <w:rFonts w:hint="eastAsia" w:ascii="宋体" w:hAnsi="宋体"/>
                <w:b/>
                <w:bCs/>
                <w:szCs w:val="21"/>
              </w:rPr>
              <w:t>★防护等级</w:t>
            </w:r>
          </w:p>
        </w:tc>
        <w:tc>
          <w:tcPr>
            <w:tcW w:w="647" w:type="dxa"/>
            <w:tcMar>
              <w:left w:w="57" w:type="dxa"/>
              <w:right w:w="57" w:type="dxa"/>
            </w:tcMar>
            <w:vAlign w:val="center"/>
          </w:tcPr>
          <w:p>
            <w:pPr>
              <w:topLinePunct/>
              <w:adjustRightInd w:val="0"/>
              <w:snapToGrid w:val="0"/>
              <w:jc w:val="center"/>
              <w:rPr>
                <w:rFonts w:ascii="宋体" w:hAnsi="宋体"/>
                <w:b/>
                <w:bCs/>
                <w:szCs w:val="21"/>
              </w:rPr>
            </w:pPr>
          </w:p>
        </w:tc>
        <w:tc>
          <w:tcPr>
            <w:tcW w:w="3365" w:type="dxa"/>
            <w:tcMar>
              <w:left w:w="57" w:type="dxa"/>
              <w:right w:w="57" w:type="dxa"/>
            </w:tcMar>
            <w:vAlign w:val="center"/>
          </w:tcPr>
          <w:p>
            <w:pPr>
              <w:topLinePunct/>
              <w:adjustRightInd w:val="0"/>
              <w:snapToGrid w:val="0"/>
              <w:rPr>
                <w:rFonts w:ascii="宋体" w:hAnsi="宋体"/>
                <w:b/>
                <w:bCs/>
                <w:szCs w:val="21"/>
              </w:rPr>
            </w:pPr>
            <w:r>
              <w:rPr>
                <w:rFonts w:ascii="宋体" w:hAnsi="宋体"/>
                <w:b/>
                <w:bCs/>
                <w:szCs w:val="21"/>
              </w:rPr>
              <w:t>≥</w:t>
            </w:r>
            <w:r>
              <w:rPr>
                <w:rFonts w:hint="eastAsia" w:ascii="宋体" w:hAnsi="宋体"/>
                <w:b/>
                <w:bCs/>
                <w:szCs w:val="21"/>
              </w:rPr>
              <w:t>IP</w:t>
            </w:r>
            <w:r>
              <w:rPr>
                <w:rFonts w:ascii="宋体" w:hAnsi="宋体"/>
                <w:b/>
                <w:bCs/>
                <w:szCs w:val="21"/>
              </w:rPr>
              <w:t>55</w:t>
            </w:r>
            <w:r>
              <w:rPr>
                <w:rFonts w:hint="eastAsia" w:ascii="宋体" w:hAnsi="宋体"/>
                <w:b/>
                <w:bCs/>
                <w:szCs w:val="21"/>
              </w:rPr>
              <w:t>（提供第三方检测机构出具的带有C</w:t>
            </w:r>
            <w:r>
              <w:rPr>
                <w:rFonts w:ascii="宋体" w:hAnsi="宋体"/>
                <w:b/>
                <w:bCs/>
                <w:szCs w:val="21"/>
              </w:rPr>
              <w:t>MA</w:t>
            </w:r>
            <w:r>
              <w:rPr>
                <w:rFonts w:hint="eastAsia" w:ascii="宋体" w:hAnsi="宋体"/>
                <w:b/>
                <w:bCs/>
                <w:szCs w:val="21"/>
              </w:rPr>
              <w:t>和C</w:t>
            </w:r>
            <w:r>
              <w:rPr>
                <w:rFonts w:ascii="宋体" w:hAnsi="宋体"/>
                <w:b/>
                <w:bCs/>
                <w:szCs w:val="21"/>
              </w:rPr>
              <w:t>NAS</w:t>
            </w:r>
            <w:r>
              <w:rPr>
                <w:rFonts w:hint="eastAsia" w:ascii="宋体" w:hAnsi="宋体"/>
                <w:b/>
                <w:bCs/>
                <w:szCs w:val="21"/>
              </w:rPr>
              <w:t>标识的7k</w:t>
            </w:r>
            <w:r>
              <w:rPr>
                <w:rFonts w:ascii="宋体" w:hAnsi="宋体"/>
                <w:b/>
                <w:bCs/>
                <w:szCs w:val="21"/>
              </w:rPr>
              <w:t>W</w:t>
            </w:r>
            <w:r>
              <w:rPr>
                <w:rFonts w:hint="eastAsia" w:ascii="宋体" w:hAnsi="宋体"/>
                <w:b/>
                <w:bCs/>
                <w:szCs w:val="21"/>
              </w:rPr>
              <w:t>交流充电桩C</w:t>
            </w:r>
            <w:r>
              <w:rPr>
                <w:rFonts w:ascii="宋体" w:hAnsi="宋体"/>
                <w:b/>
                <w:bCs/>
                <w:szCs w:val="21"/>
              </w:rPr>
              <w:t>QC</w:t>
            </w:r>
            <w:r>
              <w:rPr>
                <w:rFonts w:hint="eastAsia" w:ascii="宋体" w:hAnsi="宋体"/>
                <w:b/>
                <w:bCs/>
                <w:szCs w:val="21"/>
              </w:rPr>
              <w:t>实验报告）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511" w:type="dxa"/>
            <w:vAlign w:val="center"/>
          </w:tcPr>
          <w:p>
            <w:pPr>
              <w:topLinePunct/>
              <w:adjustRightInd w:val="0"/>
              <w:snapToGrid w:val="0"/>
              <w:jc w:val="center"/>
              <w:rPr>
                <w:rFonts w:ascii="宋体" w:hAnsi="宋体"/>
                <w:szCs w:val="21"/>
              </w:rPr>
            </w:pPr>
            <w:r>
              <w:rPr>
                <w:rFonts w:hint="eastAsia" w:ascii="宋体" w:hAnsi="宋体"/>
                <w:szCs w:val="21"/>
              </w:rPr>
              <w:t>2</w:t>
            </w:r>
            <w:r>
              <w:rPr>
                <w:rFonts w:ascii="宋体" w:hAnsi="宋体"/>
                <w:szCs w:val="21"/>
              </w:rPr>
              <w:t>4</w:t>
            </w:r>
          </w:p>
        </w:tc>
        <w:tc>
          <w:tcPr>
            <w:tcW w:w="778" w:type="dxa"/>
            <w:vMerge w:val="continue"/>
            <w:tcMar>
              <w:left w:w="57" w:type="dxa"/>
              <w:right w:w="57" w:type="dxa"/>
            </w:tcMar>
            <w:vAlign w:val="center"/>
          </w:tcPr>
          <w:p>
            <w:pPr>
              <w:topLinePunct/>
              <w:adjustRightInd w:val="0"/>
              <w:snapToGrid w:val="0"/>
              <w:jc w:val="center"/>
              <w:rPr>
                <w:rFonts w:ascii="宋体" w:hAnsi="宋体"/>
                <w:szCs w:val="21"/>
              </w:rPr>
            </w:pPr>
          </w:p>
        </w:tc>
        <w:tc>
          <w:tcPr>
            <w:tcW w:w="3119" w:type="dxa"/>
            <w:tcMar>
              <w:left w:w="57" w:type="dxa"/>
              <w:right w:w="57" w:type="dxa"/>
            </w:tcMar>
            <w:vAlign w:val="center"/>
          </w:tcPr>
          <w:p>
            <w:pPr>
              <w:topLinePunct/>
              <w:adjustRightInd w:val="0"/>
              <w:snapToGrid w:val="0"/>
              <w:jc w:val="center"/>
              <w:rPr>
                <w:rFonts w:ascii="宋体" w:hAnsi="宋体"/>
                <w:szCs w:val="21"/>
              </w:rPr>
            </w:pPr>
            <w:r>
              <w:rPr>
                <w:rFonts w:hint="eastAsia" w:ascii="宋体" w:hAnsi="宋体"/>
                <w:szCs w:val="21"/>
              </w:rPr>
              <w:t>通信接口</w:t>
            </w:r>
          </w:p>
        </w:tc>
        <w:tc>
          <w:tcPr>
            <w:tcW w:w="647" w:type="dxa"/>
            <w:tcMar>
              <w:left w:w="57" w:type="dxa"/>
              <w:right w:w="57" w:type="dxa"/>
            </w:tcMar>
            <w:vAlign w:val="center"/>
          </w:tcPr>
          <w:p>
            <w:pPr>
              <w:topLinePunct/>
              <w:adjustRightInd w:val="0"/>
              <w:snapToGrid w:val="0"/>
              <w:jc w:val="center"/>
              <w:rPr>
                <w:rFonts w:ascii="宋体" w:hAnsi="宋体"/>
                <w:szCs w:val="21"/>
              </w:rPr>
            </w:pPr>
          </w:p>
        </w:tc>
        <w:tc>
          <w:tcPr>
            <w:tcW w:w="3365" w:type="dxa"/>
            <w:tcMar>
              <w:left w:w="57" w:type="dxa"/>
              <w:right w:w="57" w:type="dxa"/>
            </w:tcMar>
            <w:vAlign w:val="center"/>
          </w:tcPr>
          <w:p>
            <w:pPr>
              <w:topLinePunct/>
              <w:adjustRightInd w:val="0"/>
              <w:snapToGrid w:val="0"/>
              <w:jc w:val="center"/>
              <w:rPr>
                <w:rFonts w:ascii="宋体" w:hAnsi="宋体"/>
                <w:szCs w:val="21"/>
              </w:rPr>
            </w:pPr>
            <w:r>
              <w:rPr>
                <w:rFonts w:hint="eastAsia" w:ascii="宋体" w:hAnsi="宋体"/>
                <w:szCs w:val="21"/>
              </w:rPr>
              <w:t>RS485或CAN或以太网</w:t>
            </w:r>
          </w:p>
        </w:tc>
      </w:tr>
    </w:tbl>
    <w:p>
      <w:pPr>
        <w:rPr>
          <w:rFonts w:ascii="宋体" w:hAnsi="宋体" w:cs="宋体"/>
          <w:szCs w:val="21"/>
        </w:rPr>
      </w:pPr>
      <w:r>
        <w:rPr>
          <w:rFonts w:ascii="宋体" w:hAnsi="宋体" w:cs="宋体"/>
          <w:szCs w:val="21"/>
        </w:rPr>
        <w:br w:type="page"/>
      </w:r>
    </w:p>
    <w:p>
      <w:pPr>
        <w:pStyle w:val="49"/>
        <w:ind w:firstLine="201"/>
      </w:pPr>
    </w:p>
    <w:bookmarkEnd w:id="474"/>
    <w:bookmarkEnd w:id="516"/>
    <w:bookmarkEnd w:id="517"/>
    <w:bookmarkEnd w:id="518"/>
    <w:bookmarkEnd w:id="519"/>
    <w:bookmarkEnd w:id="520"/>
    <w:bookmarkEnd w:id="521"/>
    <w:p>
      <w:pPr>
        <w:pStyle w:val="4"/>
        <w:spacing w:before="120" w:after="120" w:line="360" w:lineRule="auto"/>
        <w:rPr>
          <w:rFonts w:ascii="宋体" w:hAnsi="宋体" w:cs="宋体"/>
        </w:rPr>
      </w:pPr>
      <w:r>
        <w:rPr>
          <w:rFonts w:hint="eastAsia" w:ascii="宋体" w:hAnsi="宋体" w:cs="宋体"/>
        </w:rPr>
        <w:t>第六章 投标文件格式</w:t>
      </w:r>
      <w:bookmarkEnd w:id="475"/>
      <w:bookmarkEnd w:id="476"/>
    </w:p>
    <w:p>
      <w:pPr>
        <w:rPr>
          <w:rFonts w:ascii="宋体" w:hAnsi="宋体"/>
          <w:sz w:val="32"/>
          <w:szCs w:val="32"/>
        </w:rPr>
      </w:pPr>
      <w:bookmarkStart w:id="576" w:name="_Toc269215447"/>
      <w:r>
        <w:rPr>
          <w:rFonts w:ascii="宋体" w:hAnsi="宋体"/>
          <w:sz w:val="32"/>
          <w:szCs w:val="32"/>
        </w:rPr>
        <w:t>封面（用于</w:t>
      </w:r>
      <w:r>
        <w:rPr>
          <w:rFonts w:hint="eastAsia" w:ascii="宋体" w:hAnsi="宋体"/>
          <w:sz w:val="32"/>
          <w:szCs w:val="32"/>
        </w:rPr>
        <w:t>封袋及投标文件封面）</w:t>
      </w:r>
    </w:p>
    <w:p>
      <w:pPr>
        <w:spacing w:line="500" w:lineRule="exact"/>
        <w:jc w:val="right"/>
        <w:rPr>
          <w:rFonts w:ascii="宋体" w:hAnsi="宋体"/>
          <w:b/>
          <w:bCs/>
          <w:sz w:val="32"/>
        </w:rPr>
      </w:pPr>
      <w:r>
        <w:rPr>
          <w:rFonts w:hint="eastAsia" w:ascii="宋体" w:hAnsi="宋体"/>
          <w:b/>
          <w:bCs/>
          <w:sz w:val="32"/>
        </w:rPr>
        <w:t>正本/副本（投标人自行删改）</w:t>
      </w:r>
    </w:p>
    <w:p>
      <w:pPr>
        <w:spacing w:line="500" w:lineRule="exact"/>
        <w:jc w:val="center"/>
        <w:rPr>
          <w:rFonts w:ascii="宋体" w:hAnsi="宋体"/>
          <w:b/>
          <w:bCs/>
          <w:sz w:val="32"/>
        </w:rPr>
      </w:pPr>
    </w:p>
    <w:p>
      <w:pPr>
        <w:spacing w:line="500" w:lineRule="exact"/>
        <w:jc w:val="center"/>
        <w:rPr>
          <w:rFonts w:ascii="宋体" w:hAnsi="宋体"/>
          <w:b/>
          <w:bCs/>
          <w:sz w:val="32"/>
        </w:rPr>
      </w:pPr>
    </w:p>
    <w:p>
      <w:pPr>
        <w:adjustRightInd w:val="0"/>
        <w:spacing w:line="360" w:lineRule="auto"/>
        <w:ind w:firstLine="480" w:firstLineChars="150"/>
        <w:jc w:val="center"/>
        <w:textAlignment w:val="baseline"/>
        <w:rPr>
          <w:rFonts w:ascii="宋体" w:hAnsi="宋体"/>
          <w:kern w:val="0"/>
          <w:sz w:val="32"/>
          <w:szCs w:val="32"/>
        </w:rPr>
      </w:pPr>
      <w:r>
        <w:rPr>
          <w:rFonts w:ascii="宋体" w:hAnsi="宋体"/>
          <w:kern w:val="0"/>
          <w:sz w:val="32"/>
          <w:szCs w:val="32"/>
          <w:u w:val="single"/>
        </w:rPr>
        <w:t xml:space="preserve">                               </w:t>
      </w:r>
      <w:r>
        <w:rPr>
          <w:rFonts w:ascii="宋体" w:hAnsi="宋体"/>
          <w:kern w:val="0"/>
          <w:sz w:val="32"/>
          <w:szCs w:val="32"/>
        </w:rPr>
        <w:t>（项目名称）</w:t>
      </w:r>
    </w:p>
    <w:p>
      <w:pPr>
        <w:adjustRightInd w:val="0"/>
        <w:spacing w:line="360" w:lineRule="auto"/>
        <w:textAlignment w:val="baseline"/>
        <w:rPr>
          <w:rFonts w:ascii="宋体" w:hAnsi="宋体"/>
          <w:kern w:val="0"/>
          <w:sz w:val="30"/>
        </w:rPr>
      </w:pPr>
    </w:p>
    <w:p>
      <w:pPr>
        <w:adjustRightInd w:val="0"/>
        <w:spacing w:line="360" w:lineRule="auto"/>
        <w:ind w:firstLine="482"/>
        <w:jc w:val="center"/>
        <w:textAlignment w:val="baseline"/>
        <w:rPr>
          <w:rFonts w:ascii="宋体" w:hAnsi="宋体"/>
          <w:b/>
          <w:bCs/>
          <w:spacing w:val="60"/>
          <w:kern w:val="0"/>
          <w:sz w:val="84"/>
          <w:szCs w:val="84"/>
        </w:rPr>
      </w:pPr>
      <w:r>
        <w:rPr>
          <w:rFonts w:ascii="宋体" w:hAnsi="宋体"/>
          <w:b/>
          <w:bCs/>
          <w:spacing w:val="60"/>
          <w:kern w:val="0"/>
          <w:sz w:val="84"/>
          <w:szCs w:val="84"/>
        </w:rPr>
        <w:t>投标</w:t>
      </w:r>
      <w:r>
        <w:rPr>
          <w:rFonts w:hint="eastAsia" w:ascii="宋体" w:hAnsi="宋体"/>
          <w:b/>
          <w:bCs/>
          <w:spacing w:val="60"/>
          <w:kern w:val="0"/>
          <w:sz w:val="84"/>
          <w:szCs w:val="84"/>
        </w:rPr>
        <w:t>文件</w:t>
      </w:r>
    </w:p>
    <w:p>
      <w:pPr>
        <w:adjustRightInd w:val="0"/>
        <w:spacing w:line="360" w:lineRule="auto"/>
        <w:ind w:firstLine="482"/>
        <w:jc w:val="center"/>
        <w:textAlignment w:val="baseline"/>
        <w:rPr>
          <w:rFonts w:ascii="宋体" w:hAnsi="宋体"/>
          <w:kern w:val="0"/>
          <w:sz w:val="48"/>
          <w:szCs w:val="48"/>
        </w:rPr>
      </w:pPr>
      <w:r>
        <w:rPr>
          <w:rFonts w:ascii="宋体" w:hAnsi="宋体"/>
          <w:kern w:val="0"/>
          <w:sz w:val="48"/>
          <w:szCs w:val="48"/>
        </w:rPr>
        <w:t>（</w:t>
      </w:r>
      <w:r>
        <w:rPr>
          <w:rFonts w:hint="eastAsia" w:ascii="宋体" w:hAnsi="宋体"/>
          <w:kern w:val="0"/>
          <w:sz w:val="48"/>
          <w:szCs w:val="48"/>
        </w:rPr>
        <w:t>资格审查资料</w:t>
      </w:r>
      <w:r>
        <w:rPr>
          <w:rFonts w:ascii="宋体" w:hAnsi="宋体"/>
          <w:kern w:val="0"/>
          <w:sz w:val="48"/>
          <w:szCs w:val="48"/>
        </w:rPr>
        <w:t>）</w:t>
      </w:r>
    </w:p>
    <w:p>
      <w:pPr>
        <w:adjustRightInd w:val="0"/>
        <w:spacing w:line="360" w:lineRule="auto"/>
        <w:ind w:firstLine="482"/>
        <w:jc w:val="center"/>
        <w:textAlignment w:val="baseline"/>
        <w:rPr>
          <w:rFonts w:ascii="宋体" w:hAnsi="宋体"/>
          <w:kern w:val="0"/>
          <w:sz w:val="30"/>
        </w:rPr>
      </w:pPr>
    </w:p>
    <w:p>
      <w:pPr>
        <w:adjustRightInd w:val="0"/>
        <w:spacing w:line="360" w:lineRule="auto"/>
        <w:ind w:firstLine="482"/>
        <w:jc w:val="center"/>
        <w:textAlignment w:val="baseline"/>
        <w:rPr>
          <w:rFonts w:ascii="宋体" w:hAnsi="宋体"/>
          <w:kern w:val="0"/>
          <w:sz w:val="30"/>
        </w:rPr>
      </w:pPr>
    </w:p>
    <w:p>
      <w:pPr>
        <w:adjustRightInd w:val="0"/>
        <w:spacing w:line="360" w:lineRule="auto"/>
        <w:ind w:firstLine="482"/>
        <w:jc w:val="center"/>
        <w:textAlignment w:val="baseline"/>
        <w:rPr>
          <w:rFonts w:ascii="宋体" w:hAnsi="宋体"/>
          <w:kern w:val="0"/>
          <w:sz w:val="30"/>
        </w:rPr>
      </w:pPr>
    </w:p>
    <w:p>
      <w:pPr>
        <w:adjustRightInd w:val="0"/>
        <w:spacing w:line="360" w:lineRule="auto"/>
        <w:ind w:firstLine="482"/>
        <w:jc w:val="center"/>
        <w:textAlignment w:val="baseline"/>
        <w:rPr>
          <w:rFonts w:ascii="宋体" w:hAnsi="宋体"/>
          <w:kern w:val="0"/>
          <w:sz w:val="30"/>
        </w:rPr>
      </w:pPr>
    </w:p>
    <w:p>
      <w:pPr>
        <w:adjustRightInd w:val="0"/>
        <w:spacing w:line="360" w:lineRule="auto"/>
        <w:ind w:firstLine="480" w:firstLineChars="160"/>
        <w:textAlignment w:val="baseline"/>
        <w:rPr>
          <w:rFonts w:ascii="宋体" w:hAnsi="宋体"/>
          <w:kern w:val="0"/>
          <w:sz w:val="30"/>
          <w:u w:val="single"/>
        </w:rPr>
      </w:pPr>
      <w:r>
        <w:rPr>
          <w:rFonts w:ascii="宋体" w:hAnsi="宋体"/>
          <w:kern w:val="0"/>
          <w:sz w:val="30"/>
        </w:rPr>
        <w:t>投标人：</w:t>
      </w:r>
      <w:r>
        <w:rPr>
          <w:rFonts w:ascii="宋体" w:hAnsi="宋体"/>
          <w:kern w:val="0"/>
          <w:sz w:val="30"/>
          <w:u w:val="single"/>
        </w:rPr>
        <w:t xml:space="preserve">                                </w:t>
      </w:r>
      <w:r>
        <w:rPr>
          <w:rFonts w:ascii="宋体" w:hAnsi="宋体"/>
          <w:kern w:val="0"/>
          <w:sz w:val="30"/>
        </w:rPr>
        <w:t>(盖单位公章)</w:t>
      </w:r>
    </w:p>
    <w:p>
      <w:pPr>
        <w:adjustRightInd w:val="0"/>
        <w:spacing w:line="360" w:lineRule="auto"/>
        <w:ind w:firstLine="480" w:firstLineChars="160"/>
        <w:textAlignment w:val="baseline"/>
        <w:rPr>
          <w:rFonts w:ascii="宋体" w:hAnsi="宋体"/>
          <w:kern w:val="0"/>
          <w:sz w:val="30"/>
        </w:rPr>
      </w:pPr>
    </w:p>
    <w:p>
      <w:pPr>
        <w:adjustRightInd w:val="0"/>
        <w:spacing w:line="360" w:lineRule="auto"/>
        <w:ind w:firstLine="480" w:firstLineChars="160"/>
        <w:textAlignment w:val="baseline"/>
        <w:rPr>
          <w:rFonts w:ascii="宋体" w:hAnsi="宋体"/>
          <w:kern w:val="0"/>
          <w:sz w:val="30"/>
          <w:u w:val="single"/>
        </w:rPr>
      </w:pPr>
      <w:r>
        <w:rPr>
          <w:rFonts w:ascii="宋体" w:hAnsi="宋体"/>
          <w:kern w:val="0"/>
          <w:sz w:val="30"/>
        </w:rPr>
        <w:t>法定代表人或其委托代理人：</w:t>
      </w:r>
      <w:r>
        <w:rPr>
          <w:rFonts w:ascii="宋体" w:hAnsi="宋体"/>
          <w:kern w:val="0"/>
          <w:sz w:val="30"/>
          <w:u w:val="single"/>
        </w:rPr>
        <w:t xml:space="preserve">              </w:t>
      </w:r>
      <w:r>
        <w:rPr>
          <w:rFonts w:ascii="宋体" w:hAnsi="宋体"/>
          <w:kern w:val="0"/>
          <w:sz w:val="30"/>
        </w:rPr>
        <w:t>(签字或盖章)</w:t>
      </w:r>
    </w:p>
    <w:p>
      <w:pPr>
        <w:adjustRightInd w:val="0"/>
        <w:spacing w:line="360" w:lineRule="auto"/>
        <w:ind w:firstLine="480" w:firstLineChars="160"/>
        <w:textAlignment w:val="baseline"/>
        <w:rPr>
          <w:rFonts w:ascii="宋体" w:hAnsi="宋体"/>
          <w:kern w:val="0"/>
          <w:sz w:val="30"/>
        </w:rPr>
      </w:pPr>
    </w:p>
    <w:p>
      <w:pPr>
        <w:adjustRightInd w:val="0"/>
        <w:spacing w:line="360" w:lineRule="auto"/>
        <w:ind w:firstLine="482"/>
        <w:textAlignment w:val="baseline"/>
        <w:rPr>
          <w:rFonts w:ascii="宋体" w:hAnsi="宋体"/>
          <w:kern w:val="0"/>
          <w:sz w:val="30"/>
          <w:u w:val="single"/>
        </w:rPr>
      </w:pPr>
      <w:r>
        <w:rPr>
          <w:rFonts w:ascii="宋体" w:hAnsi="宋体"/>
          <w:kern w:val="0"/>
          <w:sz w:val="30"/>
        </w:rPr>
        <w:t>日   期：</w:t>
      </w:r>
      <w:r>
        <w:rPr>
          <w:rFonts w:ascii="宋体" w:hAnsi="宋体"/>
          <w:kern w:val="0"/>
          <w:sz w:val="30"/>
          <w:u w:val="single"/>
        </w:rPr>
        <w:t xml:space="preserve">        年     月     日</w:t>
      </w:r>
    </w:p>
    <w:p/>
    <w:p>
      <w:pPr>
        <w:spacing w:line="500" w:lineRule="exact"/>
        <w:jc w:val="center"/>
        <w:rPr>
          <w:rFonts w:ascii="宋体" w:hAnsi="宋体"/>
          <w:sz w:val="32"/>
          <w:szCs w:val="32"/>
        </w:rPr>
      </w:pPr>
    </w:p>
    <w:p>
      <w:pPr>
        <w:spacing w:line="500" w:lineRule="exact"/>
        <w:jc w:val="center"/>
        <w:rPr>
          <w:rFonts w:ascii="宋体" w:hAnsi="宋体"/>
          <w:sz w:val="32"/>
          <w:szCs w:val="32"/>
        </w:rPr>
      </w:pPr>
    </w:p>
    <w:p>
      <w:pPr>
        <w:spacing w:line="500" w:lineRule="exact"/>
        <w:jc w:val="center"/>
        <w:rPr>
          <w:rFonts w:ascii="宋体" w:hAnsi="宋体"/>
          <w:sz w:val="32"/>
          <w:szCs w:val="32"/>
        </w:rPr>
      </w:pPr>
    </w:p>
    <w:p>
      <w:pPr>
        <w:spacing w:line="500" w:lineRule="exact"/>
        <w:jc w:val="center"/>
        <w:rPr>
          <w:rFonts w:ascii="宋体" w:hAnsi="宋体"/>
          <w:sz w:val="32"/>
          <w:szCs w:val="32"/>
        </w:rPr>
      </w:pPr>
    </w:p>
    <w:p>
      <w:pPr>
        <w:spacing w:line="500" w:lineRule="exact"/>
        <w:jc w:val="right"/>
        <w:rPr>
          <w:rFonts w:ascii="宋体" w:hAnsi="宋体"/>
          <w:b/>
          <w:bCs/>
          <w:sz w:val="32"/>
          <w:u w:val="single"/>
        </w:rPr>
      </w:pPr>
      <w:r>
        <w:rPr>
          <w:rFonts w:hint="eastAsia" w:ascii="宋体" w:hAnsi="宋体"/>
          <w:b/>
          <w:bCs/>
          <w:sz w:val="32"/>
          <w:u w:val="single"/>
        </w:rPr>
        <w:t>正本/副本（投标人自行删改）</w:t>
      </w:r>
    </w:p>
    <w:p>
      <w:pPr>
        <w:spacing w:line="500" w:lineRule="exact"/>
        <w:jc w:val="center"/>
        <w:rPr>
          <w:rFonts w:ascii="宋体" w:hAnsi="宋体"/>
          <w:b/>
          <w:bCs/>
          <w:sz w:val="32"/>
        </w:rPr>
      </w:pPr>
    </w:p>
    <w:p>
      <w:pPr>
        <w:spacing w:line="500" w:lineRule="exact"/>
        <w:jc w:val="center"/>
        <w:rPr>
          <w:rFonts w:ascii="宋体" w:hAnsi="宋体"/>
          <w:b/>
          <w:bCs/>
          <w:sz w:val="32"/>
        </w:rPr>
      </w:pPr>
    </w:p>
    <w:p>
      <w:pPr>
        <w:adjustRightInd w:val="0"/>
        <w:spacing w:line="360" w:lineRule="auto"/>
        <w:ind w:firstLine="480" w:firstLineChars="150"/>
        <w:jc w:val="center"/>
        <w:textAlignment w:val="baseline"/>
        <w:rPr>
          <w:rFonts w:ascii="宋体" w:hAnsi="宋体"/>
          <w:kern w:val="0"/>
          <w:sz w:val="32"/>
          <w:szCs w:val="32"/>
        </w:rPr>
      </w:pPr>
      <w:r>
        <w:rPr>
          <w:rFonts w:ascii="宋体" w:hAnsi="宋体"/>
          <w:kern w:val="0"/>
          <w:sz w:val="32"/>
          <w:szCs w:val="32"/>
          <w:u w:val="single"/>
        </w:rPr>
        <w:t xml:space="preserve">                               </w:t>
      </w:r>
      <w:r>
        <w:rPr>
          <w:rFonts w:ascii="宋体" w:hAnsi="宋体"/>
          <w:kern w:val="0"/>
          <w:sz w:val="32"/>
          <w:szCs w:val="32"/>
        </w:rPr>
        <w:t>（项目名称）</w:t>
      </w:r>
    </w:p>
    <w:p>
      <w:pPr>
        <w:adjustRightInd w:val="0"/>
        <w:spacing w:line="360" w:lineRule="auto"/>
        <w:textAlignment w:val="baseline"/>
        <w:rPr>
          <w:rFonts w:ascii="宋体" w:hAnsi="宋体"/>
          <w:kern w:val="0"/>
          <w:sz w:val="30"/>
        </w:rPr>
      </w:pPr>
    </w:p>
    <w:p>
      <w:pPr>
        <w:adjustRightInd w:val="0"/>
        <w:spacing w:line="360" w:lineRule="auto"/>
        <w:ind w:firstLine="482"/>
        <w:jc w:val="center"/>
        <w:textAlignment w:val="baseline"/>
        <w:rPr>
          <w:rFonts w:ascii="宋体" w:hAnsi="宋体"/>
          <w:b/>
          <w:bCs/>
          <w:spacing w:val="60"/>
          <w:kern w:val="0"/>
          <w:sz w:val="84"/>
          <w:szCs w:val="84"/>
        </w:rPr>
      </w:pPr>
      <w:r>
        <w:rPr>
          <w:rFonts w:ascii="宋体" w:hAnsi="宋体"/>
          <w:b/>
          <w:bCs/>
          <w:spacing w:val="60"/>
          <w:kern w:val="0"/>
          <w:sz w:val="84"/>
          <w:szCs w:val="84"/>
        </w:rPr>
        <w:t>投标</w:t>
      </w:r>
      <w:r>
        <w:rPr>
          <w:rFonts w:hint="eastAsia" w:ascii="宋体" w:hAnsi="宋体"/>
          <w:b/>
          <w:bCs/>
          <w:spacing w:val="60"/>
          <w:kern w:val="0"/>
          <w:sz w:val="84"/>
          <w:szCs w:val="84"/>
        </w:rPr>
        <w:t>文件</w:t>
      </w:r>
    </w:p>
    <w:p>
      <w:pPr>
        <w:adjustRightInd w:val="0"/>
        <w:spacing w:line="360" w:lineRule="auto"/>
        <w:ind w:firstLine="482"/>
        <w:jc w:val="center"/>
        <w:textAlignment w:val="baseline"/>
        <w:rPr>
          <w:rFonts w:ascii="宋体" w:hAnsi="宋体"/>
          <w:kern w:val="0"/>
          <w:sz w:val="48"/>
          <w:szCs w:val="48"/>
        </w:rPr>
      </w:pPr>
      <w:r>
        <w:rPr>
          <w:rFonts w:ascii="宋体" w:hAnsi="宋体"/>
          <w:kern w:val="0"/>
          <w:sz w:val="48"/>
          <w:szCs w:val="48"/>
        </w:rPr>
        <w:t>（</w:t>
      </w:r>
      <w:r>
        <w:rPr>
          <w:rFonts w:hint="eastAsia" w:ascii="宋体" w:hAnsi="宋体"/>
          <w:kern w:val="0"/>
          <w:sz w:val="48"/>
          <w:szCs w:val="48"/>
        </w:rPr>
        <w:t>商务技术标</w:t>
      </w:r>
      <w:r>
        <w:rPr>
          <w:rFonts w:ascii="宋体" w:hAnsi="宋体"/>
          <w:kern w:val="0"/>
          <w:sz w:val="48"/>
          <w:szCs w:val="48"/>
        </w:rPr>
        <w:t>）</w:t>
      </w:r>
    </w:p>
    <w:p>
      <w:pPr>
        <w:adjustRightInd w:val="0"/>
        <w:spacing w:line="360" w:lineRule="auto"/>
        <w:ind w:firstLine="482"/>
        <w:jc w:val="center"/>
        <w:textAlignment w:val="baseline"/>
        <w:rPr>
          <w:rFonts w:ascii="宋体" w:hAnsi="宋体"/>
          <w:kern w:val="0"/>
          <w:sz w:val="30"/>
        </w:rPr>
      </w:pPr>
    </w:p>
    <w:p>
      <w:pPr>
        <w:adjustRightInd w:val="0"/>
        <w:spacing w:line="360" w:lineRule="auto"/>
        <w:ind w:firstLine="482"/>
        <w:jc w:val="center"/>
        <w:textAlignment w:val="baseline"/>
        <w:rPr>
          <w:rFonts w:ascii="宋体" w:hAnsi="宋体"/>
          <w:kern w:val="0"/>
          <w:sz w:val="30"/>
        </w:rPr>
      </w:pPr>
    </w:p>
    <w:p>
      <w:pPr>
        <w:adjustRightInd w:val="0"/>
        <w:spacing w:line="360" w:lineRule="auto"/>
        <w:ind w:firstLine="482"/>
        <w:jc w:val="center"/>
        <w:textAlignment w:val="baseline"/>
        <w:rPr>
          <w:rFonts w:ascii="宋体" w:hAnsi="宋体"/>
          <w:kern w:val="0"/>
          <w:sz w:val="30"/>
        </w:rPr>
      </w:pPr>
    </w:p>
    <w:p>
      <w:pPr>
        <w:adjustRightInd w:val="0"/>
        <w:spacing w:line="360" w:lineRule="auto"/>
        <w:ind w:firstLine="482"/>
        <w:jc w:val="center"/>
        <w:textAlignment w:val="baseline"/>
        <w:rPr>
          <w:rFonts w:ascii="宋体" w:hAnsi="宋体"/>
          <w:kern w:val="0"/>
          <w:sz w:val="30"/>
        </w:rPr>
      </w:pPr>
    </w:p>
    <w:p>
      <w:pPr>
        <w:adjustRightInd w:val="0"/>
        <w:spacing w:line="360" w:lineRule="auto"/>
        <w:ind w:firstLine="480" w:firstLineChars="160"/>
        <w:textAlignment w:val="baseline"/>
        <w:rPr>
          <w:rFonts w:ascii="宋体" w:hAnsi="宋体"/>
          <w:kern w:val="0"/>
          <w:sz w:val="30"/>
          <w:u w:val="single"/>
        </w:rPr>
      </w:pPr>
      <w:r>
        <w:rPr>
          <w:rFonts w:ascii="宋体" w:hAnsi="宋体"/>
          <w:kern w:val="0"/>
          <w:sz w:val="30"/>
        </w:rPr>
        <w:t>投标人：</w:t>
      </w:r>
      <w:r>
        <w:rPr>
          <w:rFonts w:ascii="宋体" w:hAnsi="宋体"/>
          <w:kern w:val="0"/>
          <w:sz w:val="30"/>
          <w:u w:val="single"/>
        </w:rPr>
        <w:t xml:space="preserve">                                </w:t>
      </w:r>
      <w:r>
        <w:rPr>
          <w:rFonts w:ascii="宋体" w:hAnsi="宋体"/>
          <w:kern w:val="0"/>
          <w:sz w:val="30"/>
        </w:rPr>
        <w:t>(盖单位公章)</w:t>
      </w:r>
    </w:p>
    <w:p>
      <w:pPr>
        <w:adjustRightInd w:val="0"/>
        <w:spacing w:line="360" w:lineRule="auto"/>
        <w:ind w:firstLine="480" w:firstLineChars="160"/>
        <w:textAlignment w:val="baseline"/>
        <w:rPr>
          <w:rFonts w:ascii="宋体" w:hAnsi="宋体"/>
          <w:kern w:val="0"/>
          <w:sz w:val="30"/>
        </w:rPr>
      </w:pPr>
    </w:p>
    <w:p>
      <w:pPr>
        <w:adjustRightInd w:val="0"/>
        <w:spacing w:line="360" w:lineRule="auto"/>
        <w:ind w:firstLine="480" w:firstLineChars="160"/>
        <w:textAlignment w:val="baseline"/>
        <w:rPr>
          <w:rFonts w:ascii="宋体" w:hAnsi="宋体"/>
          <w:kern w:val="0"/>
          <w:sz w:val="30"/>
          <w:u w:val="single"/>
        </w:rPr>
      </w:pPr>
      <w:r>
        <w:rPr>
          <w:rFonts w:ascii="宋体" w:hAnsi="宋体"/>
          <w:kern w:val="0"/>
          <w:sz w:val="30"/>
        </w:rPr>
        <w:t>法定代表人或其委托代理人：</w:t>
      </w:r>
      <w:r>
        <w:rPr>
          <w:rFonts w:ascii="宋体" w:hAnsi="宋体"/>
          <w:kern w:val="0"/>
          <w:sz w:val="30"/>
          <w:u w:val="single"/>
        </w:rPr>
        <w:t xml:space="preserve">              </w:t>
      </w:r>
      <w:r>
        <w:rPr>
          <w:rFonts w:ascii="宋体" w:hAnsi="宋体"/>
          <w:kern w:val="0"/>
          <w:sz w:val="30"/>
        </w:rPr>
        <w:t>(签字或盖章)</w:t>
      </w:r>
    </w:p>
    <w:p>
      <w:pPr>
        <w:adjustRightInd w:val="0"/>
        <w:spacing w:line="360" w:lineRule="auto"/>
        <w:ind w:firstLine="480" w:firstLineChars="160"/>
        <w:textAlignment w:val="baseline"/>
        <w:rPr>
          <w:rFonts w:ascii="宋体" w:hAnsi="宋体"/>
          <w:kern w:val="0"/>
          <w:sz w:val="30"/>
        </w:rPr>
      </w:pPr>
    </w:p>
    <w:p>
      <w:pPr>
        <w:adjustRightInd w:val="0"/>
        <w:spacing w:line="360" w:lineRule="auto"/>
        <w:ind w:firstLine="482"/>
        <w:textAlignment w:val="baseline"/>
        <w:rPr>
          <w:rFonts w:ascii="宋体" w:hAnsi="宋体"/>
          <w:kern w:val="0"/>
          <w:sz w:val="30"/>
          <w:u w:val="single"/>
        </w:rPr>
      </w:pPr>
      <w:r>
        <w:rPr>
          <w:rFonts w:ascii="宋体" w:hAnsi="宋体"/>
          <w:kern w:val="0"/>
          <w:sz w:val="30"/>
        </w:rPr>
        <w:t>日   期：</w:t>
      </w:r>
      <w:r>
        <w:rPr>
          <w:rFonts w:ascii="宋体" w:hAnsi="宋体"/>
          <w:kern w:val="0"/>
          <w:sz w:val="30"/>
          <w:u w:val="single"/>
        </w:rPr>
        <w:t xml:space="preserve">        年     月     日</w:t>
      </w:r>
    </w:p>
    <w:p/>
    <w:p/>
    <w:p/>
    <w:p/>
    <w:p/>
    <w:p/>
    <w:p/>
    <w:p/>
    <w:p/>
    <w:p/>
    <w:p>
      <w:pPr>
        <w:spacing w:line="500" w:lineRule="exact"/>
        <w:jc w:val="center"/>
        <w:rPr>
          <w:rFonts w:ascii="宋体" w:hAnsi="宋体"/>
          <w:b/>
          <w:bCs/>
          <w:sz w:val="32"/>
        </w:rPr>
      </w:pPr>
    </w:p>
    <w:p>
      <w:pPr>
        <w:spacing w:line="500" w:lineRule="exact"/>
        <w:jc w:val="right"/>
        <w:rPr>
          <w:rFonts w:ascii="宋体" w:hAnsi="宋体"/>
          <w:b/>
          <w:bCs/>
          <w:sz w:val="32"/>
          <w:u w:val="single"/>
        </w:rPr>
      </w:pPr>
      <w:r>
        <w:rPr>
          <w:rFonts w:hint="eastAsia" w:ascii="宋体" w:hAnsi="宋体"/>
          <w:b/>
          <w:bCs/>
          <w:sz w:val="32"/>
          <w:u w:val="single"/>
        </w:rPr>
        <w:t>正本/副本（投标人自行删改）</w:t>
      </w:r>
    </w:p>
    <w:p>
      <w:pPr>
        <w:spacing w:line="500" w:lineRule="exact"/>
        <w:jc w:val="center"/>
        <w:rPr>
          <w:rFonts w:ascii="宋体" w:hAnsi="宋体"/>
          <w:b/>
          <w:bCs/>
          <w:sz w:val="32"/>
        </w:rPr>
      </w:pPr>
    </w:p>
    <w:p>
      <w:pPr>
        <w:spacing w:line="500" w:lineRule="exact"/>
        <w:jc w:val="center"/>
        <w:rPr>
          <w:rFonts w:ascii="宋体" w:hAnsi="宋体"/>
          <w:b/>
          <w:bCs/>
          <w:sz w:val="32"/>
        </w:rPr>
      </w:pPr>
    </w:p>
    <w:p>
      <w:pPr>
        <w:adjustRightInd w:val="0"/>
        <w:spacing w:line="360" w:lineRule="auto"/>
        <w:ind w:firstLine="480" w:firstLineChars="150"/>
        <w:jc w:val="center"/>
        <w:textAlignment w:val="baseline"/>
        <w:rPr>
          <w:rFonts w:ascii="宋体" w:hAnsi="宋体"/>
          <w:kern w:val="0"/>
          <w:sz w:val="32"/>
          <w:szCs w:val="32"/>
        </w:rPr>
      </w:pPr>
      <w:r>
        <w:rPr>
          <w:rFonts w:ascii="宋体" w:hAnsi="宋体"/>
          <w:kern w:val="0"/>
          <w:sz w:val="32"/>
          <w:szCs w:val="32"/>
          <w:u w:val="single"/>
        </w:rPr>
        <w:t xml:space="preserve">                               </w:t>
      </w:r>
      <w:r>
        <w:rPr>
          <w:rFonts w:ascii="宋体" w:hAnsi="宋体"/>
          <w:kern w:val="0"/>
          <w:sz w:val="32"/>
          <w:szCs w:val="32"/>
        </w:rPr>
        <w:t>（项目名称）</w:t>
      </w:r>
    </w:p>
    <w:p>
      <w:pPr>
        <w:adjustRightInd w:val="0"/>
        <w:spacing w:line="360" w:lineRule="auto"/>
        <w:textAlignment w:val="baseline"/>
        <w:rPr>
          <w:rFonts w:ascii="宋体" w:hAnsi="宋体"/>
          <w:kern w:val="0"/>
          <w:sz w:val="30"/>
        </w:rPr>
      </w:pPr>
    </w:p>
    <w:p>
      <w:pPr>
        <w:adjustRightInd w:val="0"/>
        <w:spacing w:line="360" w:lineRule="auto"/>
        <w:ind w:firstLine="482"/>
        <w:jc w:val="center"/>
        <w:textAlignment w:val="baseline"/>
        <w:rPr>
          <w:rFonts w:ascii="宋体" w:hAnsi="宋体"/>
          <w:b/>
          <w:bCs/>
          <w:spacing w:val="60"/>
          <w:kern w:val="0"/>
          <w:sz w:val="84"/>
          <w:szCs w:val="84"/>
        </w:rPr>
      </w:pPr>
      <w:r>
        <w:rPr>
          <w:rFonts w:ascii="宋体" w:hAnsi="宋体"/>
          <w:b/>
          <w:bCs/>
          <w:spacing w:val="60"/>
          <w:kern w:val="0"/>
          <w:sz w:val="84"/>
          <w:szCs w:val="84"/>
        </w:rPr>
        <w:t>投标</w:t>
      </w:r>
      <w:r>
        <w:rPr>
          <w:rFonts w:hint="eastAsia" w:ascii="宋体" w:hAnsi="宋体"/>
          <w:b/>
          <w:bCs/>
          <w:spacing w:val="60"/>
          <w:kern w:val="0"/>
          <w:sz w:val="84"/>
          <w:szCs w:val="84"/>
        </w:rPr>
        <w:t>文件</w:t>
      </w:r>
    </w:p>
    <w:p>
      <w:pPr>
        <w:adjustRightInd w:val="0"/>
        <w:spacing w:line="360" w:lineRule="auto"/>
        <w:ind w:firstLine="482"/>
        <w:jc w:val="center"/>
        <w:textAlignment w:val="baseline"/>
        <w:rPr>
          <w:rFonts w:ascii="宋体" w:hAnsi="宋体"/>
          <w:kern w:val="0"/>
          <w:sz w:val="48"/>
          <w:szCs w:val="48"/>
        </w:rPr>
      </w:pPr>
      <w:r>
        <w:rPr>
          <w:rFonts w:ascii="宋体" w:hAnsi="宋体"/>
          <w:kern w:val="0"/>
          <w:sz w:val="48"/>
          <w:szCs w:val="48"/>
        </w:rPr>
        <w:t>（</w:t>
      </w:r>
      <w:r>
        <w:rPr>
          <w:rFonts w:hint="eastAsia" w:ascii="宋体" w:hAnsi="宋体"/>
          <w:kern w:val="0"/>
          <w:sz w:val="48"/>
          <w:szCs w:val="48"/>
        </w:rPr>
        <w:t>投标报价</w:t>
      </w:r>
      <w:r>
        <w:rPr>
          <w:rFonts w:ascii="宋体" w:hAnsi="宋体"/>
          <w:kern w:val="0"/>
          <w:sz w:val="48"/>
          <w:szCs w:val="48"/>
        </w:rPr>
        <w:t>）</w:t>
      </w:r>
    </w:p>
    <w:p>
      <w:pPr>
        <w:adjustRightInd w:val="0"/>
        <w:spacing w:line="360" w:lineRule="auto"/>
        <w:ind w:firstLine="482"/>
        <w:jc w:val="center"/>
        <w:textAlignment w:val="baseline"/>
        <w:rPr>
          <w:rFonts w:ascii="宋体" w:hAnsi="宋体"/>
          <w:kern w:val="0"/>
          <w:sz w:val="30"/>
        </w:rPr>
      </w:pPr>
    </w:p>
    <w:p>
      <w:pPr>
        <w:adjustRightInd w:val="0"/>
        <w:spacing w:line="360" w:lineRule="auto"/>
        <w:ind w:firstLine="482"/>
        <w:jc w:val="center"/>
        <w:textAlignment w:val="baseline"/>
        <w:rPr>
          <w:rFonts w:ascii="宋体" w:hAnsi="宋体"/>
          <w:kern w:val="0"/>
          <w:sz w:val="30"/>
        </w:rPr>
      </w:pPr>
    </w:p>
    <w:p>
      <w:pPr>
        <w:adjustRightInd w:val="0"/>
        <w:spacing w:line="360" w:lineRule="auto"/>
        <w:ind w:firstLine="482"/>
        <w:jc w:val="center"/>
        <w:textAlignment w:val="baseline"/>
        <w:rPr>
          <w:rFonts w:ascii="宋体" w:hAnsi="宋体"/>
          <w:kern w:val="0"/>
          <w:sz w:val="30"/>
        </w:rPr>
      </w:pPr>
    </w:p>
    <w:p>
      <w:pPr>
        <w:adjustRightInd w:val="0"/>
        <w:spacing w:line="360" w:lineRule="auto"/>
        <w:ind w:firstLine="482"/>
        <w:jc w:val="center"/>
        <w:textAlignment w:val="baseline"/>
        <w:rPr>
          <w:rFonts w:ascii="宋体" w:hAnsi="宋体"/>
          <w:kern w:val="0"/>
          <w:sz w:val="30"/>
        </w:rPr>
      </w:pPr>
    </w:p>
    <w:p>
      <w:pPr>
        <w:adjustRightInd w:val="0"/>
        <w:spacing w:line="360" w:lineRule="auto"/>
        <w:ind w:firstLine="480" w:firstLineChars="160"/>
        <w:textAlignment w:val="baseline"/>
        <w:rPr>
          <w:rFonts w:ascii="宋体" w:hAnsi="宋体"/>
          <w:kern w:val="0"/>
          <w:sz w:val="30"/>
          <w:u w:val="single"/>
        </w:rPr>
      </w:pPr>
      <w:r>
        <w:rPr>
          <w:rFonts w:ascii="宋体" w:hAnsi="宋体"/>
          <w:kern w:val="0"/>
          <w:sz w:val="30"/>
        </w:rPr>
        <w:t>投标人：</w:t>
      </w:r>
      <w:r>
        <w:rPr>
          <w:rFonts w:ascii="宋体" w:hAnsi="宋体"/>
          <w:kern w:val="0"/>
          <w:sz w:val="30"/>
          <w:u w:val="single"/>
        </w:rPr>
        <w:t xml:space="preserve">                                </w:t>
      </w:r>
      <w:r>
        <w:rPr>
          <w:rFonts w:ascii="宋体" w:hAnsi="宋体"/>
          <w:kern w:val="0"/>
          <w:sz w:val="30"/>
        </w:rPr>
        <w:t>(盖单位公章)</w:t>
      </w:r>
    </w:p>
    <w:p>
      <w:pPr>
        <w:adjustRightInd w:val="0"/>
        <w:spacing w:line="360" w:lineRule="auto"/>
        <w:ind w:firstLine="480" w:firstLineChars="160"/>
        <w:textAlignment w:val="baseline"/>
        <w:rPr>
          <w:rFonts w:ascii="宋体" w:hAnsi="宋体"/>
          <w:kern w:val="0"/>
          <w:sz w:val="30"/>
        </w:rPr>
      </w:pPr>
    </w:p>
    <w:p>
      <w:pPr>
        <w:adjustRightInd w:val="0"/>
        <w:spacing w:line="360" w:lineRule="auto"/>
        <w:ind w:firstLine="480" w:firstLineChars="160"/>
        <w:textAlignment w:val="baseline"/>
        <w:rPr>
          <w:rFonts w:ascii="宋体" w:hAnsi="宋体"/>
          <w:kern w:val="0"/>
          <w:sz w:val="30"/>
          <w:u w:val="single"/>
        </w:rPr>
      </w:pPr>
      <w:r>
        <w:rPr>
          <w:rFonts w:ascii="宋体" w:hAnsi="宋体"/>
          <w:kern w:val="0"/>
          <w:sz w:val="30"/>
        </w:rPr>
        <w:t>法定代表人或其委托代理人：</w:t>
      </w:r>
      <w:r>
        <w:rPr>
          <w:rFonts w:ascii="宋体" w:hAnsi="宋体"/>
          <w:kern w:val="0"/>
          <w:sz w:val="30"/>
          <w:u w:val="single"/>
        </w:rPr>
        <w:t xml:space="preserve">              </w:t>
      </w:r>
      <w:r>
        <w:rPr>
          <w:rFonts w:ascii="宋体" w:hAnsi="宋体"/>
          <w:kern w:val="0"/>
          <w:sz w:val="30"/>
        </w:rPr>
        <w:t>(签字或盖章)</w:t>
      </w:r>
    </w:p>
    <w:p>
      <w:pPr>
        <w:adjustRightInd w:val="0"/>
        <w:spacing w:line="360" w:lineRule="auto"/>
        <w:ind w:firstLine="480" w:firstLineChars="160"/>
        <w:textAlignment w:val="baseline"/>
        <w:rPr>
          <w:rFonts w:ascii="宋体" w:hAnsi="宋体"/>
          <w:kern w:val="0"/>
          <w:sz w:val="30"/>
        </w:rPr>
      </w:pPr>
    </w:p>
    <w:p>
      <w:pPr>
        <w:adjustRightInd w:val="0"/>
        <w:spacing w:line="360" w:lineRule="auto"/>
        <w:ind w:firstLine="482"/>
        <w:textAlignment w:val="baseline"/>
        <w:rPr>
          <w:rFonts w:ascii="宋体" w:hAnsi="宋体"/>
          <w:kern w:val="0"/>
          <w:sz w:val="30"/>
          <w:u w:val="single"/>
        </w:rPr>
      </w:pPr>
      <w:r>
        <w:rPr>
          <w:rFonts w:ascii="宋体" w:hAnsi="宋体"/>
          <w:kern w:val="0"/>
          <w:sz w:val="30"/>
        </w:rPr>
        <w:t>日   期：</w:t>
      </w:r>
      <w:r>
        <w:rPr>
          <w:rFonts w:ascii="宋体" w:hAnsi="宋体"/>
          <w:kern w:val="0"/>
          <w:sz w:val="30"/>
          <w:u w:val="single"/>
        </w:rPr>
        <w:t xml:space="preserve">        年     月     日</w:t>
      </w:r>
    </w:p>
    <w:p/>
    <w:p/>
    <w:p/>
    <w:p/>
    <w:p/>
    <w:p/>
    <w:p/>
    <w:p/>
    <w:p/>
    <w:p/>
    <w:p>
      <w:pPr>
        <w:spacing w:line="500" w:lineRule="exact"/>
        <w:jc w:val="center"/>
        <w:rPr>
          <w:rFonts w:ascii="宋体" w:hAnsi="宋体"/>
          <w:b/>
          <w:bCs/>
          <w:sz w:val="32"/>
        </w:rPr>
      </w:pPr>
    </w:p>
    <w:p>
      <w:pPr>
        <w:spacing w:line="500" w:lineRule="exact"/>
        <w:jc w:val="center"/>
        <w:rPr>
          <w:rFonts w:ascii="宋体" w:hAnsi="宋体"/>
          <w:b/>
          <w:bCs/>
          <w:sz w:val="32"/>
        </w:rPr>
      </w:pPr>
    </w:p>
    <w:p>
      <w:pPr>
        <w:spacing w:line="500" w:lineRule="exact"/>
        <w:jc w:val="center"/>
        <w:rPr>
          <w:rFonts w:ascii="宋体" w:hAnsi="宋体"/>
          <w:b/>
          <w:bCs/>
          <w:sz w:val="32"/>
        </w:rPr>
      </w:pPr>
    </w:p>
    <w:p>
      <w:pPr>
        <w:spacing w:line="500" w:lineRule="exact"/>
        <w:jc w:val="center"/>
        <w:rPr>
          <w:rFonts w:ascii="宋体" w:hAnsi="宋体"/>
          <w:b/>
          <w:bCs/>
          <w:sz w:val="32"/>
        </w:rPr>
      </w:pPr>
    </w:p>
    <w:p>
      <w:pPr>
        <w:adjustRightInd w:val="0"/>
        <w:spacing w:line="360" w:lineRule="auto"/>
        <w:ind w:firstLine="480" w:firstLineChars="150"/>
        <w:jc w:val="center"/>
        <w:textAlignment w:val="baseline"/>
        <w:rPr>
          <w:rFonts w:ascii="宋体" w:hAnsi="宋体"/>
          <w:kern w:val="0"/>
          <w:sz w:val="32"/>
          <w:szCs w:val="32"/>
        </w:rPr>
      </w:pPr>
      <w:r>
        <w:rPr>
          <w:rFonts w:ascii="宋体" w:hAnsi="宋体"/>
          <w:kern w:val="0"/>
          <w:sz w:val="32"/>
          <w:szCs w:val="32"/>
          <w:u w:val="single"/>
        </w:rPr>
        <w:t xml:space="preserve">                               </w:t>
      </w:r>
      <w:r>
        <w:rPr>
          <w:rFonts w:ascii="宋体" w:hAnsi="宋体"/>
          <w:kern w:val="0"/>
          <w:sz w:val="32"/>
          <w:szCs w:val="32"/>
        </w:rPr>
        <w:t>（项目名称）</w:t>
      </w:r>
    </w:p>
    <w:p>
      <w:pPr>
        <w:adjustRightInd w:val="0"/>
        <w:spacing w:line="360" w:lineRule="auto"/>
        <w:textAlignment w:val="baseline"/>
        <w:rPr>
          <w:rFonts w:ascii="宋体" w:hAnsi="宋体"/>
          <w:kern w:val="0"/>
          <w:sz w:val="30"/>
        </w:rPr>
      </w:pPr>
    </w:p>
    <w:p>
      <w:pPr>
        <w:adjustRightInd w:val="0"/>
        <w:spacing w:line="360" w:lineRule="auto"/>
        <w:ind w:firstLine="482"/>
        <w:jc w:val="center"/>
        <w:textAlignment w:val="baseline"/>
        <w:rPr>
          <w:rFonts w:ascii="宋体" w:hAnsi="宋体"/>
          <w:b/>
          <w:bCs/>
          <w:spacing w:val="60"/>
          <w:kern w:val="0"/>
          <w:sz w:val="84"/>
          <w:szCs w:val="84"/>
        </w:rPr>
      </w:pPr>
      <w:r>
        <w:rPr>
          <w:rFonts w:ascii="宋体" w:hAnsi="宋体"/>
          <w:b/>
          <w:bCs/>
          <w:spacing w:val="60"/>
          <w:kern w:val="0"/>
          <w:sz w:val="84"/>
          <w:szCs w:val="84"/>
        </w:rPr>
        <w:t>投标</w:t>
      </w:r>
      <w:r>
        <w:rPr>
          <w:rFonts w:hint="eastAsia" w:ascii="宋体" w:hAnsi="宋体"/>
          <w:b/>
          <w:bCs/>
          <w:spacing w:val="60"/>
          <w:kern w:val="0"/>
          <w:sz w:val="84"/>
          <w:szCs w:val="84"/>
        </w:rPr>
        <w:t>文件</w:t>
      </w:r>
    </w:p>
    <w:p>
      <w:pPr>
        <w:adjustRightInd w:val="0"/>
        <w:spacing w:line="360" w:lineRule="auto"/>
        <w:ind w:firstLine="482"/>
        <w:jc w:val="center"/>
        <w:textAlignment w:val="baseline"/>
        <w:rPr>
          <w:rFonts w:ascii="宋体" w:hAnsi="宋体"/>
          <w:kern w:val="0"/>
          <w:sz w:val="48"/>
          <w:szCs w:val="48"/>
        </w:rPr>
      </w:pPr>
      <w:r>
        <w:rPr>
          <w:rFonts w:ascii="宋体" w:hAnsi="宋体"/>
          <w:kern w:val="0"/>
          <w:sz w:val="48"/>
          <w:szCs w:val="48"/>
        </w:rPr>
        <w:t>（</w:t>
      </w:r>
      <w:r>
        <w:rPr>
          <w:rFonts w:hint="eastAsia" w:ascii="宋体" w:hAnsi="宋体"/>
          <w:kern w:val="0"/>
          <w:sz w:val="48"/>
          <w:szCs w:val="48"/>
        </w:rPr>
        <w:t>电子备份文件</w:t>
      </w:r>
      <w:r>
        <w:rPr>
          <w:rFonts w:ascii="宋体" w:hAnsi="宋体"/>
          <w:kern w:val="0"/>
          <w:sz w:val="48"/>
          <w:szCs w:val="48"/>
        </w:rPr>
        <w:t>）</w:t>
      </w:r>
    </w:p>
    <w:p>
      <w:pPr>
        <w:adjustRightInd w:val="0"/>
        <w:spacing w:line="360" w:lineRule="auto"/>
        <w:ind w:firstLine="482"/>
        <w:jc w:val="center"/>
        <w:textAlignment w:val="baseline"/>
        <w:rPr>
          <w:rFonts w:ascii="宋体" w:hAnsi="宋体"/>
          <w:kern w:val="0"/>
          <w:sz w:val="30"/>
        </w:rPr>
      </w:pPr>
    </w:p>
    <w:p>
      <w:pPr>
        <w:adjustRightInd w:val="0"/>
        <w:spacing w:line="360" w:lineRule="auto"/>
        <w:ind w:firstLine="482"/>
        <w:jc w:val="center"/>
        <w:textAlignment w:val="baseline"/>
        <w:rPr>
          <w:rFonts w:ascii="宋体" w:hAnsi="宋体"/>
          <w:kern w:val="0"/>
          <w:sz w:val="30"/>
        </w:rPr>
      </w:pPr>
    </w:p>
    <w:p>
      <w:pPr>
        <w:adjustRightInd w:val="0"/>
        <w:spacing w:line="360" w:lineRule="auto"/>
        <w:ind w:firstLine="482"/>
        <w:jc w:val="center"/>
        <w:textAlignment w:val="baseline"/>
        <w:rPr>
          <w:rFonts w:ascii="宋体" w:hAnsi="宋体"/>
          <w:kern w:val="0"/>
          <w:sz w:val="30"/>
        </w:rPr>
      </w:pPr>
    </w:p>
    <w:p>
      <w:pPr>
        <w:adjustRightInd w:val="0"/>
        <w:spacing w:line="360" w:lineRule="auto"/>
        <w:ind w:firstLine="482"/>
        <w:jc w:val="center"/>
        <w:textAlignment w:val="baseline"/>
        <w:rPr>
          <w:rFonts w:ascii="宋体" w:hAnsi="宋体"/>
          <w:kern w:val="0"/>
          <w:sz w:val="30"/>
        </w:rPr>
      </w:pPr>
    </w:p>
    <w:p>
      <w:pPr>
        <w:adjustRightInd w:val="0"/>
        <w:spacing w:line="360" w:lineRule="auto"/>
        <w:ind w:firstLine="480" w:firstLineChars="160"/>
        <w:textAlignment w:val="baseline"/>
        <w:rPr>
          <w:rFonts w:ascii="宋体" w:hAnsi="宋体"/>
          <w:kern w:val="0"/>
          <w:sz w:val="30"/>
          <w:u w:val="single"/>
        </w:rPr>
      </w:pPr>
      <w:r>
        <w:rPr>
          <w:rFonts w:ascii="宋体" w:hAnsi="宋体"/>
          <w:kern w:val="0"/>
          <w:sz w:val="30"/>
        </w:rPr>
        <w:t>投标人：</w:t>
      </w:r>
      <w:r>
        <w:rPr>
          <w:rFonts w:ascii="宋体" w:hAnsi="宋体"/>
          <w:kern w:val="0"/>
          <w:sz w:val="30"/>
          <w:u w:val="single"/>
        </w:rPr>
        <w:t xml:space="preserve">                                </w:t>
      </w:r>
      <w:r>
        <w:rPr>
          <w:rFonts w:ascii="宋体" w:hAnsi="宋体"/>
          <w:kern w:val="0"/>
          <w:sz w:val="30"/>
        </w:rPr>
        <w:t>(盖单位公章)</w:t>
      </w:r>
    </w:p>
    <w:p>
      <w:pPr>
        <w:adjustRightInd w:val="0"/>
        <w:spacing w:line="360" w:lineRule="auto"/>
        <w:ind w:firstLine="480" w:firstLineChars="160"/>
        <w:textAlignment w:val="baseline"/>
        <w:rPr>
          <w:rFonts w:ascii="宋体" w:hAnsi="宋体"/>
          <w:kern w:val="0"/>
          <w:sz w:val="30"/>
        </w:rPr>
      </w:pPr>
    </w:p>
    <w:p>
      <w:pPr>
        <w:adjustRightInd w:val="0"/>
        <w:spacing w:line="360" w:lineRule="auto"/>
        <w:ind w:firstLine="480" w:firstLineChars="160"/>
        <w:textAlignment w:val="baseline"/>
        <w:rPr>
          <w:rFonts w:ascii="宋体" w:hAnsi="宋体"/>
          <w:kern w:val="0"/>
          <w:sz w:val="30"/>
          <w:u w:val="single"/>
        </w:rPr>
      </w:pPr>
      <w:r>
        <w:rPr>
          <w:rFonts w:ascii="宋体" w:hAnsi="宋体"/>
          <w:kern w:val="0"/>
          <w:sz w:val="30"/>
        </w:rPr>
        <w:t>法定代表人或其委托代理人：</w:t>
      </w:r>
      <w:r>
        <w:rPr>
          <w:rFonts w:ascii="宋体" w:hAnsi="宋体"/>
          <w:kern w:val="0"/>
          <w:sz w:val="30"/>
          <w:u w:val="single"/>
        </w:rPr>
        <w:t xml:space="preserve">              </w:t>
      </w:r>
      <w:r>
        <w:rPr>
          <w:rFonts w:ascii="宋体" w:hAnsi="宋体"/>
          <w:kern w:val="0"/>
          <w:sz w:val="30"/>
        </w:rPr>
        <w:t>(签字或盖章)</w:t>
      </w:r>
    </w:p>
    <w:p>
      <w:pPr>
        <w:adjustRightInd w:val="0"/>
        <w:spacing w:line="360" w:lineRule="auto"/>
        <w:ind w:firstLine="480" w:firstLineChars="160"/>
        <w:textAlignment w:val="baseline"/>
        <w:rPr>
          <w:rFonts w:ascii="宋体" w:hAnsi="宋体"/>
          <w:kern w:val="0"/>
          <w:sz w:val="30"/>
        </w:rPr>
      </w:pPr>
    </w:p>
    <w:p>
      <w:pPr>
        <w:adjustRightInd w:val="0"/>
        <w:spacing w:line="360" w:lineRule="auto"/>
        <w:ind w:firstLine="482"/>
        <w:textAlignment w:val="baseline"/>
        <w:rPr>
          <w:rFonts w:ascii="宋体" w:hAnsi="宋体"/>
          <w:kern w:val="0"/>
          <w:sz w:val="30"/>
          <w:u w:val="single"/>
        </w:rPr>
      </w:pPr>
      <w:r>
        <w:rPr>
          <w:rFonts w:ascii="宋体" w:hAnsi="宋体"/>
          <w:kern w:val="0"/>
          <w:sz w:val="30"/>
        </w:rPr>
        <w:t>日   期：</w:t>
      </w:r>
      <w:r>
        <w:rPr>
          <w:rFonts w:ascii="宋体" w:hAnsi="宋体"/>
          <w:kern w:val="0"/>
          <w:sz w:val="30"/>
          <w:u w:val="single"/>
        </w:rPr>
        <w:t xml:space="preserve">        年     月     日</w:t>
      </w:r>
    </w:p>
    <w:p/>
    <w:p/>
    <w:p/>
    <w:p/>
    <w:p/>
    <w:p/>
    <w:p/>
    <w:p/>
    <w:p/>
    <w:p/>
    <w:p>
      <w:pPr>
        <w:spacing w:line="500" w:lineRule="exact"/>
        <w:jc w:val="center"/>
        <w:rPr>
          <w:rFonts w:ascii="宋体" w:hAnsi="宋体"/>
          <w:b/>
          <w:bCs/>
          <w:sz w:val="32"/>
        </w:rPr>
      </w:pPr>
    </w:p>
    <w:p>
      <w:pPr>
        <w:spacing w:line="500" w:lineRule="exact"/>
        <w:jc w:val="left"/>
        <w:rPr>
          <w:b/>
          <w:sz w:val="32"/>
        </w:rPr>
      </w:pPr>
      <w:bookmarkStart w:id="577" w:name="_Toc150505997"/>
      <w:bookmarkStart w:id="578" w:name="_Toc3718275"/>
      <w:bookmarkStart w:id="579" w:name="_Toc3717954"/>
      <w:bookmarkStart w:id="580" w:name="_Toc150578823"/>
      <w:bookmarkStart w:id="581" w:name="_Toc150316141"/>
      <w:bookmarkStart w:id="582" w:name="_Toc150506327"/>
      <w:bookmarkStart w:id="583" w:name="_Toc3718138"/>
      <w:bookmarkStart w:id="584" w:name="_Toc139442394"/>
      <w:bookmarkStart w:id="585" w:name="_Toc253401726"/>
      <w:bookmarkStart w:id="586" w:name="_Toc273457838"/>
      <w:bookmarkStart w:id="587" w:name="_Toc255286827"/>
      <w:bookmarkStart w:id="588" w:name="_Toc239131476"/>
      <w:r>
        <w:rPr>
          <w:rFonts w:hint="eastAsia"/>
          <w:b/>
          <w:sz w:val="32"/>
        </w:rPr>
        <w:t>A、资格审查材料格式</w:t>
      </w:r>
    </w:p>
    <w:p>
      <w:pPr>
        <w:spacing w:line="500" w:lineRule="exact"/>
        <w:jc w:val="center"/>
        <w:rPr>
          <w:rFonts w:ascii="宋体" w:hAnsi="宋体"/>
          <w:b/>
          <w:bCs/>
          <w:sz w:val="32"/>
        </w:rPr>
      </w:pPr>
    </w:p>
    <w:p>
      <w:pPr>
        <w:adjustRightInd w:val="0"/>
        <w:spacing w:line="360" w:lineRule="auto"/>
        <w:jc w:val="center"/>
        <w:textAlignment w:val="baseline"/>
        <w:outlineLvl w:val="1"/>
        <w:rPr>
          <w:rFonts w:ascii="宋体" w:hAnsi="宋体"/>
          <w:kern w:val="0"/>
          <w:sz w:val="32"/>
        </w:rPr>
      </w:pPr>
      <w:r>
        <w:rPr>
          <w:rFonts w:hint="eastAsia" w:ascii="宋体" w:hAnsi="宋体"/>
          <w:kern w:val="0"/>
          <w:sz w:val="28"/>
          <w:szCs w:val="28"/>
        </w:rPr>
        <w:t>一、法定代表人身份证明</w:t>
      </w:r>
    </w:p>
    <w:p>
      <w:pPr>
        <w:adjustRightInd w:val="0"/>
        <w:snapToGrid w:val="0"/>
        <w:spacing w:line="440" w:lineRule="exact"/>
        <w:textAlignment w:val="baseline"/>
        <w:rPr>
          <w:rFonts w:ascii="宋体" w:hAnsi="宋体"/>
          <w:kern w:val="0"/>
          <w:sz w:val="30"/>
        </w:rPr>
      </w:pPr>
    </w:p>
    <w:p>
      <w:pPr>
        <w:adjustRightInd w:val="0"/>
        <w:snapToGrid w:val="0"/>
        <w:spacing w:line="440" w:lineRule="exact"/>
        <w:ind w:firstLine="480" w:firstLineChars="200"/>
        <w:textAlignment w:val="baseline"/>
        <w:rPr>
          <w:rFonts w:ascii="宋体" w:hAnsi="宋体"/>
          <w:kern w:val="0"/>
          <w:sz w:val="24"/>
          <w:u w:val="single"/>
        </w:rPr>
      </w:pPr>
      <w:r>
        <w:rPr>
          <w:rFonts w:hint="eastAsia" w:ascii="宋体" w:hAnsi="宋体"/>
          <w:kern w:val="0"/>
          <w:sz w:val="24"/>
        </w:rPr>
        <w:t>投标人单位名称：</w:t>
      </w:r>
      <w:r>
        <w:rPr>
          <w:rFonts w:hint="eastAsia" w:ascii="宋体" w:hAnsi="宋体"/>
          <w:kern w:val="0"/>
          <w:sz w:val="24"/>
          <w:u w:val="single"/>
        </w:rPr>
        <w:t xml:space="preserve">                                 </w:t>
      </w:r>
    </w:p>
    <w:p>
      <w:pPr>
        <w:adjustRightInd w:val="0"/>
        <w:snapToGrid w:val="0"/>
        <w:spacing w:line="440" w:lineRule="exact"/>
        <w:ind w:firstLine="480" w:firstLineChars="200"/>
        <w:textAlignment w:val="baseline"/>
        <w:rPr>
          <w:rFonts w:ascii="宋体" w:hAnsi="宋体"/>
          <w:kern w:val="0"/>
          <w:sz w:val="24"/>
          <w:u w:val="single"/>
        </w:rPr>
      </w:pPr>
      <w:r>
        <w:rPr>
          <w:rFonts w:hint="eastAsia" w:ascii="宋体" w:hAnsi="宋体"/>
          <w:kern w:val="0"/>
          <w:sz w:val="24"/>
        </w:rPr>
        <w:t>投标人单位性质：</w:t>
      </w:r>
      <w:r>
        <w:rPr>
          <w:rFonts w:hint="eastAsia" w:ascii="宋体" w:hAnsi="宋体"/>
          <w:kern w:val="0"/>
          <w:sz w:val="24"/>
          <w:u w:val="single"/>
        </w:rPr>
        <w:t xml:space="preserve">                                 </w:t>
      </w:r>
    </w:p>
    <w:p>
      <w:pPr>
        <w:adjustRightInd w:val="0"/>
        <w:snapToGrid w:val="0"/>
        <w:spacing w:line="440" w:lineRule="exact"/>
        <w:ind w:firstLine="480" w:firstLineChars="200"/>
        <w:textAlignment w:val="baseline"/>
        <w:rPr>
          <w:rFonts w:ascii="宋体" w:hAnsi="宋体"/>
          <w:kern w:val="0"/>
          <w:sz w:val="24"/>
          <w:u w:val="single"/>
        </w:rPr>
      </w:pPr>
      <w:r>
        <w:rPr>
          <w:rFonts w:hint="eastAsia" w:ascii="宋体" w:hAnsi="宋体"/>
          <w:kern w:val="0"/>
          <w:sz w:val="24"/>
        </w:rPr>
        <w:t>投标人单位地址：</w:t>
      </w:r>
      <w:r>
        <w:rPr>
          <w:rFonts w:hint="eastAsia" w:ascii="宋体" w:hAnsi="宋体"/>
          <w:kern w:val="0"/>
          <w:sz w:val="24"/>
          <w:u w:val="single"/>
        </w:rPr>
        <w:t xml:space="preserve">                                 </w:t>
      </w:r>
    </w:p>
    <w:p>
      <w:pPr>
        <w:adjustRightInd w:val="0"/>
        <w:snapToGrid w:val="0"/>
        <w:spacing w:line="440" w:lineRule="exact"/>
        <w:ind w:firstLine="480" w:firstLineChars="200"/>
        <w:textAlignment w:val="baseline"/>
        <w:rPr>
          <w:rFonts w:ascii="宋体" w:hAnsi="宋体"/>
          <w:kern w:val="0"/>
          <w:sz w:val="24"/>
          <w:u w:val="single"/>
        </w:rPr>
      </w:pPr>
      <w:r>
        <w:rPr>
          <w:rFonts w:hint="eastAsia" w:ascii="宋体" w:hAnsi="宋体"/>
          <w:kern w:val="0"/>
          <w:sz w:val="24"/>
        </w:rPr>
        <w:t>成立时间：</w:t>
      </w:r>
      <w:r>
        <w:rPr>
          <w:rFonts w:hint="eastAsia" w:ascii="宋体" w:hAnsi="宋体"/>
          <w:kern w:val="0"/>
          <w:sz w:val="24"/>
          <w:u w:val="single"/>
        </w:rPr>
        <w:t xml:space="preserve">     </w:t>
      </w:r>
      <w:r>
        <w:rPr>
          <w:rFonts w:hint="eastAsia" w:ascii="宋体" w:hAnsi="宋体"/>
          <w:kern w:val="0"/>
          <w:sz w:val="24"/>
        </w:rPr>
        <w:t>年</w:t>
      </w:r>
      <w:r>
        <w:rPr>
          <w:rFonts w:hint="eastAsia" w:ascii="宋体" w:hAnsi="宋体"/>
          <w:kern w:val="0"/>
          <w:sz w:val="24"/>
          <w:u w:val="single"/>
        </w:rPr>
        <w:t xml:space="preserve">     </w:t>
      </w:r>
      <w:r>
        <w:rPr>
          <w:rFonts w:hint="eastAsia" w:ascii="宋体" w:hAnsi="宋体"/>
          <w:kern w:val="0"/>
          <w:sz w:val="24"/>
        </w:rPr>
        <w:t xml:space="preserve">月 </w:t>
      </w:r>
      <w:r>
        <w:rPr>
          <w:rFonts w:hint="eastAsia" w:ascii="宋体" w:hAnsi="宋体"/>
          <w:kern w:val="0"/>
          <w:sz w:val="24"/>
          <w:u w:val="single"/>
        </w:rPr>
        <w:t xml:space="preserve">    </w:t>
      </w:r>
      <w:r>
        <w:rPr>
          <w:rFonts w:hint="eastAsia" w:ascii="宋体" w:hAnsi="宋体"/>
          <w:kern w:val="0"/>
          <w:sz w:val="24"/>
        </w:rPr>
        <w:t>日</w:t>
      </w:r>
    </w:p>
    <w:p>
      <w:pPr>
        <w:adjustRightInd w:val="0"/>
        <w:snapToGrid w:val="0"/>
        <w:spacing w:line="440" w:lineRule="exact"/>
        <w:ind w:firstLine="480" w:firstLineChars="200"/>
        <w:textAlignment w:val="baseline"/>
        <w:rPr>
          <w:rFonts w:ascii="宋体" w:hAnsi="宋体"/>
          <w:kern w:val="0"/>
          <w:sz w:val="24"/>
          <w:u w:val="single"/>
        </w:rPr>
      </w:pPr>
      <w:r>
        <w:rPr>
          <w:rFonts w:hint="eastAsia" w:ascii="宋体" w:hAnsi="宋体"/>
          <w:kern w:val="0"/>
          <w:sz w:val="24"/>
        </w:rPr>
        <w:t>经营期限：</w:t>
      </w:r>
      <w:r>
        <w:rPr>
          <w:rFonts w:hint="eastAsia" w:ascii="宋体" w:hAnsi="宋体"/>
          <w:kern w:val="0"/>
          <w:sz w:val="30"/>
          <w:u w:val="single"/>
        </w:rPr>
        <w:t xml:space="preserve">                               </w:t>
      </w:r>
    </w:p>
    <w:p>
      <w:pPr>
        <w:adjustRightInd w:val="0"/>
        <w:snapToGrid w:val="0"/>
        <w:spacing w:line="440" w:lineRule="exact"/>
        <w:ind w:firstLine="480" w:firstLineChars="200"/>
        <w:textAlignment w:val="baseline"/>
        <w:rPr>
          <w:rFonts w:ascii="宋体" w:hAnsi="宋体"/>
          <w:kern w:val="0"/>
          <w:sz w:val="24"/>
          <w:u w:val="single"/>
        </w:rPr>
      </w:pPr>
      <w:r>
        <w:rPr>
          <w:rFonts w:hint="eastAsia" w:ascii="宋体" w:hAnsi="宋体"/>
          <w:kern w:val="0"/>
          <w:sz w:val="24"/>
        </w:rPr>
        <w:t>姓名：</w:t>
      </w:r>
      <w:r>
        <w:rPr>
          <w:rFonts w:hint="eastAsia" w:ascii="宋体" w:hAnsi="宋体"/>
          <w:kern w:val="0"/>
          <w:sz w:val="24"/>
          <w:u w:val="single"/>
        </w:rPr>
        <w:t xml:space="preserve">             </w:t>
      </w:r>
      <w:r>
        <w:rPr>
          <w:rFonts w:hint="eastAsia" w:ascii="宋体" w:hAnsi="宋体"/>
          <w:kern w:val="0"/>
          <w:sz w:val="24"/>
        </w:rPr>
        <w:t>性别：</w:t>
      </w:r>
      <w:r>
        <w:rPr>
          <w:rFonts w:hint="eastAsia" w:ascii="宋体" w:hAnsi="宋体"/>
          <w:kern w:val="0"/>
          <w:sz w:val="24"/>
          <w:u w:val="single"/>
        </w:rPr>
        <w:t xml:space="preserve">              </w:t>
      </w:r>
    </w:p>
    <w:p>
      <w:pPr>
        <w:adjustRightInd w:val="0"/>
        <w:snapToGrid w:val="0"/>
        <w:spacing w:line="440" w:lineRule="exact"/>
        <w:ind w:firstLine="480" w:firstLineChars="200"/>
        <w:textAlignment w:val="baseline"/>
        <w:rPr>
          <w:rFonts w:ascii="宋体" w:hAnsi="宋体"/>
          <w:kern w:val="0"/>
          <w:sz w:val="24"/>
          <w:u w:val="single"/>
        </w:rPr>
      </w:pPr>
      <w:r>
        <w:rPr>
          <w:rFonts w:hint="eastAsia" w:ascii="宋体" w:hAnsi="宋体"/>
          <w:kern w:val="0"/>
          <w:sz w:val="24"/>
        </w:rPr>
        <w:t>年龄：</w:t>
      </w:r>
      <w:r>
        <w:rPr>
          <w:rFonts w:hint="eastAsia" w:ascii="宋体" w:hAnsi="宋体"/>
          <w:kern w:val="0"/>
          <w:sz w:val="24"/>
          <w:u w:val="single"/>
        </w:rPr>
        <w:t xml:space="preserve">             </w:t>
      </w:r>
      <w:r>
        <w:rPr>
          <w:rFonts w:hint="eastAsia" w:ascii="宋体" w:hAnsi="宋体"/>
          <w:kern w:val="0"/>
          <w:sz w:val="24"/>
        </w:rPr>
        <w:t>职务：</w:t>
      </w:r>
      <w:r>
        <w:rPr>
          <w:rFonts w:hint="eastAsia" w:ascii="宋体" w:hAnsi="宋体"/>
          <w:kern w:val="0"/>
          <w:sz w:val="24"/>
          <w:u w:val="single"/>
        </w:rPr>
        <w:t xml:space="preserve">               </w:t>
      </w:r>
    </w:p>
    <w:p>
      <w:pPr>
        <w:adjustRightInd w:val="0"/>
        <w:snapToGrid w:val="0"/>
        <w:spacing w:line="440" w:lineRule="exact"/>
        <w:ind w:firstLine="480" w:firstLineChars="200"/>
        <w:textAlignment w:val="baseline"/>
        <w:rPr>
          <w:rFonts w:ascii="宋体" w:hAnsi="宋体"/>
          <w:kern w:val="0"/>
          <w:sz w:val="24"/>
        </w:rPr>
      </w:pPr>
      <w:r>
        <w:rPr>
          <w:rFonts w:hint="eastAsia" w:ascii="宋体" w:hAnsi="宋体"/>
          <w:kern w:val="0"/>
          <w:sz w:val="24"/>
        </w:rPr>
        <w:t>系：</w:t>
      </w:r>
      <w:r>
        <w:rPr>
          <w:rFonts w:hint="eastAsia" w:ascii="宋体" w:hAnsi="宋体"/>
          <w:kern w:val="0"/>
          <w:sz w:val="24"/>
          <w:u w:val="single"/>
        </w:rPr>
        <w:t xml:space="preserve">                              </w:t>
      </w:r>
      <w:r>
        <w:rPr>
          <w:rFonts w:hint="eastAsia" w:ascii="宋体" w:hAnsi="宋体"/>
          <w:kern w:val="0"/>
          <w:sz w:val="24"/>
        </w:rPr>
        <w:t>(投标人单位名称)的法定代表人。</w:t>
      </w:r>
    </w:p>
    <w:p>
      <w:pPr>
        <w:adjustRightInd w:val="0"/>
        <w:snapToGrid w:val="0"/>
        <w:spacing w:line="440" w:lineRule="exact"/>
        <w:ind w:firstLine="480" w:firstLineChars="200"/>
        <w:textAlignment w:val="baseline"/>
        <w:rPr>
          <w:rFonts w:ascii="宋体" w:hAnsi="宋体"/>
          <w:kern w:val="0"/>
          <w:sz w:val="24"/>
        </w:rPr>
      </w:pPr>
      <w:r>
        <w:rPr>
          <w:rFonts w:hint="eastAsia" w:ascii="宋体" w:hAnsi="宋体"/>
          <w:kern w:val="0"/>
          <w:sz w:val="24"/>
        </w:rPr>
        <w:t>法定代表人联系电话：</w:t>
      </w:r>
      <w:r>
        <w:rPr>
          <w:rFonts w:hint="eastAsia" w:ascii="宋体" w:hAnsi="宋体"/>
          <w:kern w:val="0"/>
          <w:sz w:val="30"/>
          <w:u w:val="single"/>
        </w:rPr>
        <w:t xml:space="preserve">                     </w:t>
      </w:r>
    </w:p>
    <w:p>
      <w:pPr>
        <w:adjustRightInd w:val="0"/>
        <w:snapToGrid w:val="0"/>
        <w:spacing w:line="440" w:lineRule="exact"/>
        <w:ind w:firstLine="480" w:firstLineChars="200"/>
        <w:textAlignment w:val="baseline"/>
        <w:rPr>
          <w:rFonts w:ascii="宋体" w:hAnsi="宋体"/>
          <w:kern w:val="0"/>
          <w:sz w:val="24"/>
        </w:rPr>
      </w:pPr>
      <w:r>
        <w:rPr>
          <w:rFonts w:hint="eastAsia" w:ascii="宋体" w:hAnsi="宋体"/>
          <w:kern w:val="0"/>
          <w:sz w:val="24"/>
        </w:rPr>
        <w:t>特此证明。</w:t>
      </w:r>
    </w:p>
    <w:p>
      <w:pPr>
        <w:adjustRightInd w:val="0"/>
        <w:spacing w:line="360" w:lineRule="auto"/>
        <w:textAlignment w:val="baseline"/>
        <w:rPr>
          <w:rFonts w:ascii="宋体" w:hAnsi="宋体"/>
          <w:kern w:val="0"/>
          <w:sz w:val="30"/>
        </w:rPr>
      </w:pPr>
    </w:p>
    <w:p>
      <w:pPr>
        <w:adjustRightInd w:val="0"/>
        <w:spacing w:line="360" w:lineRule="auto"/>
        <w:jc w:val="center"/>
        <w:textAlignment w:val="baseline"/>
        <w:rPr>
          <w:rFonts w:ascii="宋体" w:hAnsi="宋体"/>
          <w:kern w:val="0"/>
          <w:sz w:val="30"/>
        </w:rPr>
      </w:pPr>
      <w:r>
        <w:rPr>
          <w:rFonts w:ascii="宋体" w:hAnsi="宋体"/>
          <w:kern w:val="0"/>
          <w:sz w:val="30"/>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27940</wp:posOffset>
                </wp:positionV>
                <wp:extent cx="5826760" cy="1931670"/>
                <wp:effectExtent l="9525" t="13970" r="12065" b="16510"/>
                <wp:wrapNone/>
                <wp:docPr id="4" name="自选图形 29"/>
                <wp:cNvGraphicFramePr/>
                <a:graphic xmlns:a="http://schemas.openxmlformats.org/drawingml/2006/main">
                  <a:graphicData uri="http://schemas.microsoft.com/office/word/2010/wordprocessingShape">
                    <wps:wsp>
                      <wps:cNvSpPr>
                        <a:spLocks noChangeArrowheads="1"/>
                      </wps:cNvSpPr>
                      <wps:spPr bwMode="auto">
                        <a:xfrm>
                          <a:off x="0" y="0"/>
                          <a:ext cx="5826760" cy="1931670"/>
                        </a:xfrm>
                        <a:prstGeom prst="roundRect">
                          <a:avLst>
                            <a:gd name="adj" fmla="val 16667"/>
                          </a:avLst>
                        </a:prstGeom>
                        <a:noFill/>
                        <a:ln w="15875">
                          <a:solidFill>
                            <a:srgbClr val="000000"/>
                          </a:solidFill>
                          <a:prstDash val="dash"/>
                          <a:round/>
                        </a:ln>
                      </wps:spPr>
                      <wps:txbx>
                        <w:txbxContent>
                          <w:p/>
                        </w:txbxContent>
                      </wps:txbx>
                      <wps:bodyPr rot="0" vert="horz" wrap="square" lIns="91440" tIns="45720" rIns="91440" bIns="45720" anchor="t" anchorCtr="0" upright="1">
                        <a:noAutofit/>
                      </wps:bodyPr>
                    </wps:wsp>
                  </a:graphicData>
                </a:graphic>
              </wp:anchor>
            </w:drawing>
          </mc:Choice>
          <mc:Fallback>
            <w:pict>
              <v:roundrect id="自选图形 29" o:spid="_x0000_s1026" o:spt="2" style="position:absolute;left:0pt;margin-left:-2.25pt;margin-top:2.2pt;height:152.1pt;width:458.8pt;z-index:251660288;mso-width-relative:page;mso-height-relative:page;" filled="f" stroked="t" coordsize="21600,21600" arcsize="0.166666666666667" o:gfxdata="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4UNPj1wAAAAgBAAAPAAAAAAAAAAEAIAAAACIAAABkcnMvZG93bnJldi54bWxQSwECFAAUAAAA&#10;CACHTuJAdcKM52ECAACWBAAADgAAAAAAAAABACAAAAAmAQAAZHJzL2Uyb0RvYy54bWxQSwUGAAAA&#10;AAYABgBZAQAA+QUAAAAA&#10;">
                <v:fill on="f" focussize="0,0"/>
                <v:stroke weight="1.25pt" color="#000000" joinstyle="round" dashstyle="dash"/>
                <v:imagedata o:title=""/>
                <o:lock v:ext="edit" aspectratio="f"/>
                <v:textbox>
                  <w:txbxContent>
                    <w:p/>
                  </w:txbxContent>
                </v:textbox>
              </v:roundrect>
            </w:pict>
          </mc:Fallback>
        </mc:AlternateContent>
      </w:r>
    </w:p>
    <w:p>
      <w:pPr>
        <w:adjustRightInd w:val="0"/>
        <w:spacing w:line="360" w:lineRule="auto"/>
        <w:ind w:firstLine="1325" w:firstLineChars="550"/>
        <w:textAlignment w:val="baseline"/>
        <w:rPr>
          <w:rFonts w:ascii="宋体" w:hAnsi="宋体"/>
          <w:b/>
          <w:kern w:val="0"/>
          <w:sz w:val="24"/>
        </w:rPr>
      </w:pPr>
      <w:r>
        <w:rPr>
          <w:rFonts w:hint="eastAsia" w:ascii="宋体" w:hAnsi="宋体"/>
          <w:b/>
          <w:kern w:val="0"/>
          <w:sz w:val="24"/>
        </w:rPr>
        <w:t>法定代表人身份证复印件贴于此处，并加盖单位公章，否则该证明无效。</w:t>
      </w:r>
    </w:p>
    <w:p>
      <w:pPr>
        <w:adjustRightInd w:val="0"/>
        <w:spacing w:line="360" w:lineRule="auto"/>
        <w:jc w:val="center"/>
        <w:textAlignment w:val="baseline"/>
        <w:rPr>
          <w:rFonts w:ascii="宋体" w:hAnsi="宋体"/>
          <w:kern w:val="0"/>
          <w:sz w:val="30"/>
        </w:rPr>
      </w:pPr>
    </w:p>
    <w:p>
      <w:pPr>
        <w:adjustRightInd w:val="0"/>
        <w:spacing w:line="360" w:lineRule="auto"/>
        <w:ind w:firstLine="482"/>
        <w:jc w:val="center"/>
        <w:textAlignment w:val="baseline"/>
        <w:rPr>
          <w:rFonts w:ascii="宋体" w:hAnsi="宋体"/>
          <w:kern w:val="0"/>
          <w:sz w:val="30"/>
        </w:rPr>
      </w:pPr>
    </w:p>
    <w:p>
      <w:pPr>
        <w:adjustRightInd w:val="0"/>
        <w:snapToGrid w:val="0"/>
        <w:spacing w:line="440" w:lineRule="exact"/>
        <w:ind w:firstLine="480" w:firstLineChars="200"/>
        <w:textAlignment w:val="baseline"/>
        <w:rPr>
          <w:rFonts w:ascii="宋体" w:hAnsi="宋体"/>
          <w:kern w:val="0"/>
          <w:sz w:val="24"/>
        </w:rPr>
      </w:pPr>
    </w:p>
    <w:p>
      <w:pPr>
        <w:adjustRightInd w:val="0"/>
        <w:snapToGrid w:val="0"/>
        <w:spacing w:line="440" w:lineRule="exact"/>
        <w:ind w:firstLine="480" w:firstLineChars="200"/>
        <w:textAlignment w:val="baseline"/>
        <w:rPr>
          <w:rFonts w:ascii="宋体" w:hAnsi="宋体"/>
          <w:kern w:val="0"/>
          <w:sz w:val="24"/>
        </w:rPr>
      </w:pPr>
    </w:p>
    <w:p>
      <w:pPr>
        <w:adjustRightInd w:val="0"/>
        <w:snapToGrid w:val="0"/>
        <w:spacing w:line="440" w:lineRule="exact"/>
        <w:ind w:firstLine="480" w:firstLineChars="200"/>
        <w:textAlignment w:val="baseline"/>
        <w:rPr>
          <w:rFonts w:ascii="宋体" w:hAnsi="宋体"/>
          <w:kern w:val="0"/>
          <w:sz w:val="24"/>
        </w:rPr>
      </w:pPr>
    </w:p>
    <w:p>
      <w:pPr>
        <w:adjustRightInd w:val="0"/>
        <w:snapToGrid w:val="0"/>
        <w:spacing w:line="440" w:lineRule="exact"/>
        <w:ind w:firstLine="3840" w:firstLineChars="1600"/>
        <w:jc w:val="right"/>
        <w:textAlignment w:val="baseline"/>
        <w:rPr>
          <w:rFonts w:ascii="宋体" w:hAnsi="宋体"/>
          <w:kern w:val="0"/>
          <w:sz w:val="24"/>
        </w:rPr>
      </w:pPr>
      <w:r>
        <w:rPr>
          <w:rFonts w:hint="eastAsia" w:ascii="宋体" w:hAnsi="宋体"/>
          <w:kern w:val="0"/>
          <w:sz w:val="24"/>
        </w:rPr>
        <w:t>投标人：</w:t>
      </w:r>
      <w:r>
        <w:rPr>
          <w:rFonts w:hint="eastAsia" w:ascii="宋体" w:hAnsi="宋体"/>
          <w:kern w:val="0"/>
          <w:sz w:val="24"/>
          <w:u w:val="single"/>
        </w:rPr>
        <w:t xml:space="preserve">                 </w:t>
      </w:r>
      <w:r>
        <w:rPr>
          <w:rFonts w:hint="eastAsia" w:ascii="宋体" w:hAnsi="宋体"/>
          <w:kern w:val="0"/>
          <w:sz w:val="24"/>
        </w:rPr>
        <w:t>(盖单位章)</w:t>
      </w:r>
    </w:p>
    <w:p>
      <w:pPr>
        <w:adjustRightInd w:val="0"/>
        <w:snapToGrid w:val="0"/>
        <w:spacing w:line="440" w:lineRule="exact"/>
        <w:ind w:firstLine="3840" w:firstLineChars="1600"/>
        <w:jc w:val="right"/>
        <w:textAlignment w:val="baseline"/>
        <w:rPr>
          <w:rFonts w:ascii="宋体" w:hAnsi="宋体"/>
          <w:kern w:val="0"/>
          <w:sz w:val="24"/>
          <w:u w:val="single"/>
        </w:rPr>
      </w:pPr>
      <w:r>
        <w:rPr>
          <w:rFonts w:hint="eastAsia" w:ascii="宋体" w:hAnsi="宋体"/>
          <w:kern w:val="0"/>
          <w:sz w:val="24"/>
        </w:rPr>
        <w:t>日   期：</w:t>
      </w:r>
      <w:r>
        <w:rPr>
          <w:rFonts w:hint="eastAsia" w:ascii="宋体" w:hAnsi="宋体"/>
          <w:kern w:val="0"/>
          <w:sz w:val="24"/>
          <w:u w:val="single"/>
        </w:rPr>
        <w:t xml:space="preserve">        </w:t>
      </w:r>
      <w:r>
        <w:rPr>
          <w:rFonts w:hint="eastAsia" w:ascii="宋体" w:hAnsi="宋体"/>
          <w:kern w:val="0"/>
          <w:sz w:val="24"/>
        </w:rPr>
        <w:t>年</w:t>
      </w:r>
      <w:r>
        <w:rPr>
          <w:rFonts w:hint="eastAsia" w:ascii="宋体" w:hAnsi="宋体"/>
          <w:kern w:val="0"/>
          <w:sz w:val="24"/>
          <w:u w:val="single"/>
        </w:rPr>
        <w:t xml:space="preserve">      </w:t>
      </w:r>
      <w:r>
        <w:rPr>
          <w:rFonts w:hint="eastAsia" w:ascii="宋体" w:hAnsi="宋体"/>
          <w:kern w:val="0"/>
          <w:sz w:val="24"/>
        </w:rPr>
        <w:t>月</w:t>
      </w:r>
      <w:r>
        <w:rPr>
          <w:rFonts w:hint="eastAsia" w:ascii="宋体" w:hAnsi="宋体"/>
          <w:kern w:val="0"/>
          <w:sz w:val="24"/>
          <w:u w:val="single"/>
        </w:rPr>
        <w:t xml:space="preserve">      </w:t>
      </w:r>
      <w:r>
        <w:rPr>
          <w:rFonts w:hint="eastAsia" w:ascii="宋体" w:hAnsi="宋体"/>
          <w:kern w:val="0"/>
          <w:sz w:val="24"/>
        </w:rPr>
        <w:t>日</w:t>
      </w:r>
    </w:p>
    <w:p>
      <w:pPr>
        <w:adjustRightInd w:val="0"/>
        <w:spacing w:line="360" w:lineRule="auto"/>
        <w:jc w:val="center"/>
        <w:textAlignment w:val="baseline"/>
        <w:rPr>
          <w:rFonts w:ascii="宋体" w:hAnsi="宋体"/>
          <w:kern w:val="0"/>
          <w:sz w:val="25"/>
        </w:rPr>
      </w:pPr>
    </w:p>
    <w:p>
      <w:pPr>
        <w:adjustRightInd w:val="0"/>
        <w:snapToGrid w:val="0"/>
        <w:spacing w:line="440" w:lineRule="exact"/>
        <w:jc w:val="center"/>
        <w:textAlignment w:val="baseline"/>
        <w:outlineLvl w:val="1"/>
        <w:rPr>
          <w:rFonts w:ascii="宋体" w:hAnsi="宋体"/>
          <w:kern w:val="0"/>
          <w:sz w:val="28"/>
          <w:szCs w:val="28"/>
        </w:rPr>
      </w:pPr>
      <w:r>
        <w:rPr>
          <w:rFonts w:hint="eastAsia" w:ascii="宋体" w:hAnsi="宋体"/>
          <w:kern w:val="0"/>
          <w:sz w:val="28"/>
          <w:szCs w:val="28"/>
        </w:rPr>
        <w:br w:type="page"/>
      </w:r>
      <w:r>
        <w:rPr>
          <w:rFonts w:hint="eastAsia" w:ascii="宋体" w:hAnsi="宋体"/>
          <w:kern w:val="0"/>
          <w:sz w:val="28"/>
          <w:szCs w:val="28"/>
        </w:rPr>
        <w:t>二、授权委托书</w:t>
      </w:r>
    </w:p>
    <w:p>
      <w:pPr>
        <w:adjustRightInd w:val="0"/>
        <w:snapToGrid w:val="0"/>
        <w:spacing w:line="440" w:lineRule="exact"/>
        <w:ind w:firstLine="480"/>
        <w:textAlignment w:val="baseline"/>
        <w:rPr>
          <w:rFonts w:ascii="宋体" w:hAnsi="宋体"/>
          <w:kern w:val="0"/>
          <w:sz w:val="24"/>
        </w:rPr>
      </w:pPr>
    </w:p>
    <w:p>
      <w:pPr>
        <w:adjustRightInd w:val="0"/>
        <w:snapToGrid w:val="0"/>
        <w:spacing w:line="440" w:lineRule="exact"/>
        <w:ind w:firstLine="480" w:firstLineChars="200"/>
        <w:textAlignment w:val="baseline"/>
        <w:rPr>
          <w:rFonts w:ascii="宋体" w:hAnsi="宋体"/>
          <w:kern w:val="0"/>
          <w:sz w:val="24"/>
        </w:rPr>
      </w:pPr>
      <w:r>
        <w:rPr>
          <w:rFonts w:hint="eastAsia" w:ascii="宋体" w:hAnsi="宋体"/>
          <w:kern w:val="0"/>
          <w:sz w:val="24"/>
        </w:rPr>
        <w:t>本授权委托书声明：本人</w:t>
      </w:r>
      <w:r>
        <w:rPr>
          <w:rFonts w:hint="eastAsia" w:ascii="宋体" w:hAnsi="宋体"/>
          <w:kern w:val="0"/>
          <w:sz w:val="24"/>
          <w:u w:val="single"/>
        </w:rPr>
        <w:t xml:space="preserve">           </w:t>
      </w:r>
      <w:r>
        <w:rPr>
          <w:rFonts w:hint="eastAsia" w:ascii="宋体" w:hAnsi="宋体"/>
          <w:kern w:val="0"/>
          <w:sz w:val="24"/>
        </w:rPr>
        <w:t>(姓名)系</w:t>
      </w:r>
      <w:r>
        <w:rPr>
          <w:rFonts w:hint="eastAsia" w:ascii="宋体" w:hAnsi="宋体"/>
          <w:kern w:val="0"/>
          <w:sz w:val="24"/>
          <w:u w:val="single"/>
        </w:rPr>
        <w:t xml:space="preserve">                       </w:t>
      </w:r>
      <w:r>
        <w:rPr>
          <w:rFonts w:hint="eastAsia" w:ascii="宋体" w:hAnsi="宋体"/>
          <w:kern w:val="0"/>
          <w:sz w:val="24"/>
        </w:rPr>
        <w:t>(投标人单位名称)的法定代表人，现委托</w:t>
      </w:r>
      <w:r>
        <w:rPr>
          <w:rFonts w:hint="eastAsia" w:ascii="宋体" w:hAnsi="宋体"/>
          <w:kern w:val="0"/>
          <w:sz w:val="24"/>
          <w:u w:val="single"/>
        </w:rPr>
        <w:t xml:space="preserve">        </w:t>
      </w:r>
      <w:r>
        <w:rPr>
          <w:rFonts w:hint="eastAsia" w:ascii="宋体" w:hAnsi="宋体"/>
          <w:kern w:val="0"/>
          <w:sz w:val="24"/>
        </w:rPr>
        <w:t>(姓名)（身份证号：</w:t>
      </w:r>
      <w:r>
        <w:rPr>
          <w:rFonts w:hint="eastAsia" w:ascii="宋体" w:hAnsi="宋体"/>
          <w:kern w:val="0"/>
          <w:sz w:val="24"/>
          <w:u w:val="single"/>
        </w:rPr>
        <w:t xml:space="preserve">                   </w:t>
      </w:r>
      <w:r>
        <w:rPr>
          <w:rFonts w:hint="eastAsia" w:ascii="宋体" w:hAnsi="宋体"/>
          <w:kern w:val="0"/>
          <w:sz w:val="24"/>
        </w:rPr>
        <w:t>）为我方代理人。代理人根据授权，以我方名义签署、澄清、说明、补正、递交、撤回、修改</w:t>
      </w:r>
      <w:r>
        <w:rPr>
          <w:rFonts w:hint="eastAsia" w:ascii="宋体" w:hAnsi="宋体"/>
          <w:kern w:val="0"/>
          <w:sz w:val="24"/>
          <w:u w:val="single"/>
        </w:rPr>
        <w:t xml:space="preserve">           </w:t>
      </w:r>
      <w:r>
        <w:rPr>
          <w:rFonts w:hint="eastAsia" w:ascii="宋体" w:hAnsi="宋体"/>
          <w:kern w:val="0"/>
          <w:sz w:val="24"/>
        </w:rPr>
        <w:t>（项目名称）投标文件，签订合同和处理有关事宜，其法律后果由我方承担。</w:t>
      </w:r>
    </w:p>
    <w:p>
      <w:pPr>
        <w:adjustRightInd w:val="0"/>
        <w:snapToGrid w:val="0"/>
        <w:spacing w:line="440" w:lineRule="exact"/>
        <w:ind w:firstLine="480"/>
        <w:textAlignment w:val="baseline"/>
        <w:rPr>
          <w:rFonts w:ascii="宋体" w:hAnsi="宋体"/>
          <w:kern w:val="0"/>
          <w:sz w:val="24"/>
        </w:rPr>
      </w:pPr>
      <w:r>
        <w:rPr>
          <w:rFonts w:hint="eastAsia" w:ascii="宋体" w:hAnsi="宋体"/>
          <w:kern w:val="0"/>
          <w:sz w:val="24"/>
        </w:rPr>
        <w:t>委托期限：</w:t>
      </w:r>
      <w:r>
        <w:rPr>
          <w:rFonts w:hint="eastAsia" w:ascii="宋体" w:hAnsi="宋体"/>
          <w:kern w:val="0"/>
          <w:sz w:val="24"/>
          <w:u w:val="single"/>
        </w:rPr>
        <w:t xml:space="preserve">             </w:t>
      </w:r>
      <w:r>
        <w:rPr>
          <w:rFonts w:hint="eastAsia" w:ascii="宋体" w:hAnsi="宋体"/>
          <w:kern w:val="0"/>
          <w:sz w:val="24"/>
        </w:rPr>
        <w:t>。</w:t>
      </w:r>
    </w:p>
    <w:p>
      <w:pPr>
        <w:adjustRightInd w:val="0"/>
        <w:snapToGrid w:val="0"/>
        <w:spacing w:line="440" w:lineRule="exact"/>
        <w:ind w:firstLine="480" w:firstLineChars="200"/>
        <w:jc w:val="left"/>
        <w:textAlignment w:val="baseline"/>
        <w:rPr>
          <w:rFonts w:ascii="宋体" w:hAnsi="宋体"/>
          <w:kern w:val="0"/>
          <w:sz w:val="28"/>
          <w:szCs w:val="28"/>
        </w:rPr>
      </w:pPr>
      <w:r>
        <w:rPr>
          <w:rFonts w:hint="eastAsia" w:ascii="宋体" w:hAnsi="宋体"/>
          <w:kern w:val="0"/>
          <w:sz w:val="24"/>
        </w:rPr>
        <w:t>授权委托人联系电话：</w:t>
      </w:r>
      <w:r>
        <w:rPr>
          <w:rFonts w:hint="eastAsia" w:ascii="宋体" w:hAnsi="宋体"/>
          <w:kern w:val="0"/>
          <w:sz w:val="28"/>
          <w:szCs w:val="28"/>
          <w:u w:val="single"/>
        </w:rPr>
        <w:t xml:space="preserve">                          </w:t>
      </w:r>
    </w:p>
    <w:p>
      <w:pPr>
        <w:adjustRightInd w:val="0"/>
        <w:snapToGrid w:val="0"/>
        <w:spacing w:line="440" w:lineRule="exact"/>
        <w:ind w:firstLine="480" w:firstLineChars="200"/>
        <w:textAlignment w:val="baseline"/>
        <w:rPr>
          <w:rFonts w:ascii="宋体" w:hAnsi="宋体"/>
          <w:kern w:val="0"/>
          <w:sz w:val="24"/>
        </w:rPr>
      </w:pPr>
      <w:r>
        <w:rPr>
          <w:rFonts w:hint="eastAsia" w:ascii="宋体" w:hAnsi="宋体"/>
          <w:kern w:val="0"/>
          <w:sz w:val="24"/>
        </w:rPr>
        <w:t>代理人无转委托权。</w:t>
      </w:r>
    </w:p>
    <w:p>
      <w:pPr>
        <w:adjustRightInd w:val="0"/>
        <w:snapToGrid w:val="0"/>
        <w:spacing w:line="440" w:lineRule="exact"/>
        <w:textAlignment w:val="baseline"/>
        <w:rPr>
          <w:rFonts w:ascii="宋体" w:hAnsi="宋体"/>
          <w:kern w:val="0"/>
          <w:sz w:val="24"/>
        </w:rPr>
      </w:pPr>
    </w:p>
    <w:p>
      <w:pPr>
        <w:adjustRightInd w:val="0"/>
        <w:snapToGrid w:val="0"/>
        <w:spacing w:line="440" w:lineRule="exact"/>
        <w:textAlignment w:val="baseline"/>
        <w:rPr>
          <w:rFonts w:ascii="宋体" w:hAnsi="宋体"/>
          <w:kern w:val="0"/>
          <w:sz w:val="24"/>
        </w:rPr>
      </w:pPr>
      <w:r>
        <w:rPr>
          <w:rFonts w:hint="eastAsia" w:ascii="宋体" w:hAnsi="宋体"/>
          <w:kern w:val="0"/>
          <w:sz w:val="24"/>
        </w:rPr>
        <w:t>代理人：</w:t>
      </w:r>
      <w:r>
        <w:rPr>
          <w:rFonts w:hint="eastAsia" w:ascii="宋体" w:hAnsi="宋体"/>
          <w:kern w:val="0"/>
          <w:sz w:val="24"/>
          <w:u w:val="single"/>
        </w:rPr>
        <w:t xml:space="preserve">          </w:t>
      </w:r>
      <w:r>
        <w:rPr>
          <w:rFonts w:hint="eastAsia" w:ascii="宋体" w:hAnsi="宋体"/>
          <w:kern w:val="0"/>
          <w:sz w:val="24"/>
        </w:rPr>
        <w:t xml:space="preserve"> 性别：</w:t>
      </w:r>
      <w:r>
        <w:rPr>
          <w:rFonts w:hint="eastAsia" w:ascii="宋体" w:hAnsi="宋体"/>
          <w:kern w:val="0"/>
          <w:sz w:val="24"/>
          <w:u w:val="single"/>
        </w:rPr>
        <w:t xml:space="preserve">                </w:t>
      </w:r>
      <w:r>
        <w:rPr>
          <w:rFonts w:hint="eastAsia" w:ascii="宋体" w:hAnsi="宋体"/>
          <w:kern w:val="0"/>
          <w:sz w:val="24"/>
        </w:rPr>
        <w:t>年龄：</w:t>
      </w:r>
      <w:r>
        <w:rPr>
          <w:rFonts w:hint="eastAsia" w:ascii="宋体" w:hAnsi="宋体"/>
          <w:kern w:val="0"/>
          <w:sz w:val="24"/>
          <w:u w:val="single"/>
        </w:rPr>
        <w:t xml:space="preserve">               </w:t>
      </w:r>
    </w:p>
    <w:p>
      <w:pPr>
        <w:adjustRightInd w:val="0"/>
        <w:snapToGrid w:val="0"/>
        <w:spacing w:line="440" w:lineRule="exact"/>
        <w:textAlignment w:val="baseline"/>
        <w:rPr>
          <w:rFonts w:ascii="宋体" w:hAnsi="宋体"/>
          <w:kern w:val="0"/>
          <w:sz w:val="24"/>
        </w:rPr>
      </w:pPr>
      <w:r>
        <w:rPr>
          <w:rFonts w:hint="eastAsia" w:ascii="宋体" w:hAnsi="宋体"/>
          <w:kern w:val="0"/>
          <w:sz w:val="24"/>
        </w:rPr>
        <w:t>代理人单位：</w:t>
      </w:r>
      <w:r>
        <w:rPr>
          <w:rFonts w:hint="eastAsia" w:ascii="宋体" w:hAnsi="宋体"/>
          <w:kern w:val="0"/>
          <w:sz w:val="24"/>
          <w:u w:val="single"/>
        </w:rPr>
        <w:t xml:space="preserve">                    </w:t>
      </w:r>
      <w:r>
        <w:rPr>
          <w:rFonts w:hint="eastAsia" w:ascii="宋体" w:hAnsi="宋体"/>
          <w:kern w:val="0"/>
          <w:sz w:val="24"/>
        </w:rPr>
        <w:t>部门：</w:t>
      </w:r>
      <w:r>
        <w:rPr>
          <w:rFonts w:hint="eastAsia" w:ascii="宋体" w:hAnsi="宋体"/>
          <w:kern w:val="0"/>
          <w:sz w:val="24"/>
          <w:u w:val="single"/>
        </w:rPr>
        <w:t xml:space="preserve">              </w:t>
      </w:r>
      <w:r>
        <w:rPr>
          <w:rFonts w:hint="eastAsia" w:ascii="宋体" w:hAnsi="宋体"/>
          <w:kern w:val="0"/>
          <w:sz w:val="24"/>
        </w:rPr>
        <w:t>职务：</w:t>
      </w:r>
      <w:r>
        <w:rPr>
          <w:rFonts w:hint="eastAsia" w:ascii="宋体" w:hAnsi="宋体"/>
          <w:kern w:val="0"/>
          <w:sz w:val="24"/>
          <w:u w:val="single"/>
        </w:rPr>
        <w:t xml:space="preserve">               </w:t>
      </w:r>
    </w:p>
    <w:p>
      <w:pPr>
        <w:adjustRightInd w:val="0"/>
        <w:snapToGrid w:val="0"/>
        <w:spacing w:line="440" w:lineRule="exact"/>
        <w:textAlignment w:val="baseline"/>
        <w:rPr>
          <w:rFonts w:ascii="宋体" w:hAnsi="宋体"/>
          <w:kern w:val="0"/>
          <w:sz w:val="24"/>
        </w:rPr>
      </w:pPr>
    </w:p>
    <w:p>
      <w:pPr>
        <w:adjustRightInd w:val="0"/>
        <w:snapToGrid w:val="0"/>
        <w:spacing w:line="440" w:lineRule="exact"/>
        <w:textAlignment w:val="baseline"/>
        <w:rPr>
          <w:rFonts w:ascii="宋体" w:hAnsi="宋体"/>
          <w:kern w:val="0"/>
          <w:sz w:val="24"/>
        </w:rPr>
      </w:pPr>
      <w:r>
        <w:rPr>
          <w:rFonts w:hint="eastAsia" w:ascii="宋体" w:hAnsi="宋体"/>
          <w:kern w:val="0"/>
          <w:sz w:val="24"/>
        </w:rPr>
        <w:t>投标人：</w:t>
      </w:r>
      <w:r>
        <w:rPr>
          <w:rFonts w:hint="eastAsia" w:ascii="宋体" w:hAnsi="宋体"/>
          <w:kern w:val="0"/>
          <w:sz w:val="24"/>
          <w:u w:val="single"/>
        </w:rPr>
        <w:t xml:space="preserve">                       </w:t>
      </w:r>
      <w:r>
        <w:rPr>
          <w:rFonts w:hint="eastAsia" w:ascii="宋体" w:hAnsi="宋体"/>
          <w:kern w:val="0"/>
          <w:sz w:val="24"/>
        </w:rPr>
        <w:t>(盖单位章)</w:t>
      </w:r>
    </w:p>
    <w:p>
      <w:pPr>
        <w:adjustRightInd w:val="0"/>
        <w:snapToGrid w:val="0"/>
        <w:spacing w:line="440" w:lineRule="exact"/>
        <w:textAlignment w:val="baseline"/>
        <w:rPr>
          <w:rFonts w:ascii="宋体" w:hAnsi="宋体"/>
          <w:kern w:val="0"/>
          <w:sz w:val="24"/>
        </w:rPr>
      </w:pPr>
    </w:p>
    <w:p>
      <w:pPr>
        <w:adjustRightInd w:val="0"/>
        <w:snapToGrid w:val="0"/>
        <w:spacing w:line="440" w:lineRule="exact"/>
        <w:textAlignment w:val="baseline"/>
        <w:rPr>
          <w:rFonts w:ascii="宋体" w:hAnsi="宋体"/>
          <w:kern w:val="0"/>
          <w:sz w:val="24"/>
        </w:rPr>
      </w:pPr>
    </w:p>
    <w:p>
      <w:pPr>
        <w:adjustRightInd w:val="0"/>
        <w:snapToGrid w:val="0"/>
        <w:spacing w:line="440" w:lineRule="exact"/>
        <w:textAlignment w:val="baseline"/>
        <w:rPr>
          <w:rFonts w:ascii="宋体" w:hAnsi="宋体"/>
          <w:kern w:val="0"/>
          <w:sz w:val="24"/>
        </w:rPr>
      </w:pPr>
      <w:r>
        <w:rPr>
          <w:rFonts w:hint="eastAsia" w:ascii="宋体" w:hAnsi="宋体"/>
          <w:kern w:val="0"/>
          <w:sz w:val="24"/>
        </w:rPr>
        <w:t xml:space="preserve">法定代表人： </w:t>
      </w:r>
      <w:r>
        <w:rPr>
          <w:rFonts w:hint="eastAsia" w:ascii="宋体" w:hAnsi="宋体"/>
          <w:kern w:val="0"/>
          <w:sz w:val="24"/>
          <w:u w:val="single"/>
        </w:rPr>
        <w:t xml:space="preserve">                      </w:t>
      </w:r>
      <w:r>
        <w:rPr>
          <w:rFonts w:hint="eastAsia" w:ascii="宋体" w:hAnsi="宋体"/>
          <w:kern w:val="0"/>
          <w:sz w:val="24"/>
        </w:rPr>
        <w:t>(签字或印章)</w:t>
      </w:r>
    </w:p>
    <w:p>
      <w:pPr>
        <w:adjustRightInd w:val="0"/>
        <w:snapToGrid w:val="0"/>
        <w:spacing w:line="440" w:lineRule="exact"/>
        <w:textAlignment w:val="baseline"/>
        <w:rPr>
          <w:rFonts w:ascii="宋体" w:hAnsi="宋体"/>
          <w:kern w:val="0"/>
          <w:sz w:val="24"/>
        </w:rPr>
      </w:pPr>
    </w:p>
    <w:p>
      <w:pPr>
        <w:adjustRightInd w:val="0"/>
        <w:spacing w:line="360" w:lineRule="atLeast"/>
        <w:ind w:firstLine="482"/>
        <w:jc w:val="left"/>
        <w:textAlignment w:val="baseline"/>
        <w:rPr>
          <w:rFonts w:ascii="宋体" w:hAnsi="宋体"/>
          <w:kern w:val="0"/>
          <w:sz w:val="30"/>
        </w:rPr>
      </w:pPr>
    </w:p>
    <w:p>
      <w:pPr>
        <w:adjustRightInd w:val="0"/>
        <w:spacing w:line="360" w:lineRule="auto"/>
        <w:jc w:val="center"/>
        <w:textAlignment w:val="baseline"/>
        <w:rPr>
          <w:rFonts w:ascii="宋体" w:hAnsi="宋体"/>
          <w:kern w:val="0"/>
          <w:sz w:val="30"/>
        </w:rPr>
      </w:pPr>
      <w:r>
        <w:rPr>
          <w:rFonts w:ascii="宋体" w:hAnsi="宋体"/>
          <w:kern w:val="0"/>
          <w:sz w:val="30"/>
        </w:rPr>
        <mc:AlternateContent>
          <mc:Choice Requires="wps">
            <w:drawing>
              <wp:anchor distT="0" distB="0" distL="114300" distR="114300" simplePos="0" relativeHeight="251661312" behindDoc="0" locked="0" layoutInCell="1" allowOverlap="1">
                <wp:simplePos x="0" y="0"/>
                <wp:positionH relativeFrom="column">
                  <wp:posOffset>-209550</wp:posOffset>
                </wp:positionH>
                <wp:positionV relativeFrom="paragraph">
                  <wp:posOffset>12065</wp:posOffset>
                </wp:positionV>
                <wp:extent cx="6064250" cy="1889125"/>
                <wp:effectExtent l="9525" t="11430" r="12700" b="13970"/>
                <wp:wrapNone/>
                <wp:docPr id="2" name="自选图形 30"/>
                <wp:cNvGraphicFramePr/>
                <a:graphic xmlns:a="http://schemas.openxmlformats.org/drawingml/2006/main">
                  <a:graphicData uri="http://schemas.microsoft.com/office/word/2010/wordprocessingShape">
                    <wps:wsp>
                      <wps:cNvSpPr>
                        <a:spLocks noChangeArrowheads="1"/>
                      </wps:cNvSpPr>
                      <wps:spPr bwMode="auto">
                        <a:xfrm>
                          <a:off x="0" y="0"/>
                          <a:ext cx="6064250" cy="1889125"/>
                        </a:xfrm>
                        <a:prstGeom prst="roundRect">
                          <a:avLst>
                            <a:gd name="adj" fmla="val 16667"/>
                          </a:avLst>
                        </a:prstGeom>
                        <a:noFill/>
                        <a:ln w="15875">
                          <a:solidFill>
                            <a:srgbClr val="000000"/>
                          </a:solidFill>
                          <a:prstDash val="dash"/>
                          <a:round/>
                        </a:ln>
                      </wps:spPr>
                      <wps:txbx>
                        <w:txbxContent>
                          <w:p/>
                        </w:txbxContent>
                      </wps:txbx>
                      <wps:bodyPr rot="0" vert="horz" wrap="square" lIns="91440" tIns="45720" rIns="91440" bIns="45720" anchor="t" anchorCtr="0" upright="1">
                        <a:noAutofit/>
                      </wps:bodyPr>
                    </wps:wsp>
                  </a:graphicData>
                </a:graphic>
              </wp:anchor>
            </w:drawing>
          </mc:Choice>
          <mc:Fallback>
            <w:pict>
              <v:roundrect id="自选图形 30" o:spid="_x0000_s1026" o:spt="2" style="position:absolute;left:0pt;margin-left:-16.5pt;margin-top:0.95pt;height:148.75pt;width:477.5pt;z-index:251661312;mso-width-relative:page;mso-height-relative:page;" filled="f" stroked="t" coordsize="21600,21600" arcsize="0.166666666666667" o:gfxdata="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RiIOK1wAAAAkBAAAPAAAAAAAAAAEAIAAAACIAAABkcnMvZG93bnJldi54bWxQSwECFAAUAAAA&#10;CACHTuJAc/M6HWECAACWBAAADgAAAAAAAAABACAAAAAmAQAAZHJzL2Uyb0RvYy54bWxQSwUGAAAA&#10;AAYABgBZAQAA+QUAAAAA&#10;">
                <v:fill on="f" focussize="0,0"/>
                <v:stroke weight="1.25pt" color="#000000" joinstyle="round" dashstyle="dash"/>
                <v:imagedata o:title=""/>
                <o:lock v:ext="edit" aspectratio="f"/>
                <v:textbox>
                  <w:txbxContent>
                    <w:p/>
                  </w:txbxContent>
                </v:textbox>
              </v:roundrect>
            </w:pict>
          </mc:Fallback>
        </mc:AlternateContent>
      </w:r>
    </w:p>
    <w:p>
      <w:pPr>
        <w:adjustRightInd w:val="0"/>
        <w:spacing w:line="360" w:lineRule="auto"/>
        <w:jc w:val="center"/>
        <w:textAlignment w:val="baseline"/>
        <w:rPr>
          <w:rFonts w:ascii="宋体" w:hAnsi="宋体"/>
          <w:kern w:val="0"/>
          <w:sz w:val="24"/>
        </w:rPr>
      </w:pPr>
      <w:r>
        <w:rPr>
          <w:rFonts w:hint="eastAsia" w:ascii="宋体" w:hAnsi="宋体"/>
          <w:kern w:val="0"/>
          <w:sz w:val="24"/>
        </w:rPr>
        <w:t>法定代表授权委托人身份证复印件贴于此处，并加盖单位公章，否则该证明无效。</w:t>
      </w:r>
    </w:p>
    <w:p>
      <w:pPr>
        <w:adjustRightInd w:val="0"/>
        <w:spacing w:line="360" w:lineRule="auto"/>
        <w:jc w:val="center"/>
        <w:textAlignment w:val="baseline"/>
        <w:rPr>
          <w:rFonts w:ascii="宋体" w:hAnsi="宋体"/>
          <w:kern w:val="0"/>
          <w:sz w:val="30"/>
        </w:rPr>
      </w:pPr>
    </w:p>
    <w:p>
      <w:pPr>
        <w:adjustRightInd w:val="0"/>
        <w:spacing w:line="360" w:lineRule="auto"/>
        <w:jc w:val="center"/>
        <w:textAlignment w:val="baseline"/>
        <w:rPr>
          <w:rFonts w:ascii="宋体" w:hAnsi="宋体"/>
          <w:kern w:val="0"/>
          <w:sz w:val="30"/>
        </w:rPr>
      </w:pPr>
    </w:p>
    <w:p>
      <w:pPr>
        <w:adjustRightInd w:val="0"/>
        <w:snapToGrid w:val="0"/>
        <w:spacing w:line="440" w:lineRule="exact"/>
        <w:textAlignment w:val="baseline"/>
        <w:rPr>
          <w:rFonts w:ascii="宋体" w:hAnsi="宋体"/>
          <w:kern w:val="0"/>
          <w:sz w:val="24"/>
        </w:rPr>
      </w:pPr>
    </w:p>
    <w:p>
      <w:pPr>
        <w:adjustRightInd w:val="0"/>
        <w:snapToGrid w:val="0"/>
        <w:spacing w:line="440" w:lineRule="exact"/>
        <w:jc w:val="right"/>
        <w:textAlignment w:val="baseline"/>
        <w:rPr>
          <w:rFonts w:ascii="宋体" w:hAnsi="宋体"/>
          <w:kern w:val="0"/>
          <w:sz w:val="24"/>
        </w:rPr>
      </w:pPr>
    </w:p>
    <w:p>
      <w:pPr>
        <w:adjustRightInd w:val="0"/>
        <w:snapToGrid w:val="0"/>
        <w:spacing w:line="440" w:lineRule="exact"/>
        <w:jc w:val="right"/>
        <w:textAlignment w:val="baseline"/>
        <w:rPr>
          <w:rFonts w:ascii="宋体" w:hAnsi="宋体"/>
          <w:kern w:val="0"/>
          <w:sz w:val="24"/>
        </w:rPr>
      </w:pPr>
    </w:p>
    <w:p>
      <w:pPr>
        <w:adjustRightInd w:val="0"/>
        <w:snapToGrid w:val="0"/>
        <w:spacing w:line="440" w:lineRule="exact"/>
        <w:jc w:val="right"/>
        <w:textAlignment w:val="baseline"/>
        <w:rPr>
          <w:rFonts w:ascii="宋体" w:hAnsi="宋体"/>
          <w:kern w:val="0"/>
          <w:sz w:val="24"/>
        </w:rPr>
      </w:pPr>
      <w:r>
        <w:rPr>
          <w:rFonts w:hint="eastAsia" w:ascii="宋体" w:hAnsi="宋体"/>
          <w:kern w:val="0"/>
          <w:sz w:val="24"/>
        </w:rPr>
        <w:t>日期：</w:t>
      </w:r>
      <w:r>
        <w:rPr>
          <w:rFonts w:hint="eastAsia" w:ascii="宋体" w:hAnsi="宋体"/>
          <w:kern w:val="0"/>
          <w:sz w:val="24"/>
          <w:u w:val="single"/>
        </w:rPr>
        <w:t xml:space="preserve">         </w:t>
      </w:r>
      <w:r>
        <w:rPr>
          <w:rFonts w:hint="eastAsia" w:ascii="宋体" w:hAnsi="宋体"/>
          <w:kern w:val="0"/>
          <w:sz w:val="24"/>
        </w:rPr>
        <w:t>年</w:t>
      </w:r>
      <w:r>
        <w:rPr>
          <w:rFonts w:hint="eastAsia" w:ascii="宋体" w:hAnsi="宋体"/>
          <w:kern w:val="0"/>
          <w:sz w:val="24"/>
          <w:u w:val="single"/>
        </w:rPr>
        <w:t xml:space="preserve">       </w:t>
      </w:r>
      <w:r>
        <w:rPr>
          <w:rFonts w:hint="eastAsia" w:ascii="宋体" w:hAnsi="宋体"/>
          <w:kern w:val="0"/>
          <w:sz w:val="24"/>
        </w:rPr>
        <w:t>月</w:t>
      </w:r>
      <w:r>
        <w:rPr>
          <w:rFonts w:hint="eastAsia" w:ascii="宋体" w:hAnsi="宋体"/>
          <w:kern w:val="0"/>
          <w:sz w:val="24"/>
          <w:u w:val="single"/>
        </w:rPr>
        <w:t xml:space="preserve">      </w:t>
      </w:r>
      <w:r>
        <w:rPr>
          <w:rFonts w:hint="eastAsia" w:ascii="宋体" w:hAnsi="宋体"/>
          <w:kern w:val="0"/>
          <w:sz w:val="24"/>
        </w:rPr>
        <w:t>日</w:t>
      </w:r>
    </w:p>
    <w:p>
      <w:pPr>
        <w:adjustRightInd w:val="0"/>
        <w:spacing w:line="360" w:lineRule="auto"/>
        <w:jc w:val="center"/>
        <w:textAlignment w:val="baseline"/>
        <w:rPr>
          <w:rFonts w:ascii="宋体" w:hAnsi="宋体"/>
          <w:kern w:val="0"/>
          <w:sz w:val="24"/>
        </w:rPr>
      </w:pPr>
    </w:p>
    <w:p>
      <w:pPr>
        <w:adjustRightInd w:val="0"/>
        <w:spacing w:line="360" w:lineRule="auto"/>
        <w:jc w:val="center"/>
        <w:textAlignment w:val="baseline"/>
        <w:rPr>
          <w:rFonts w:ascii="宋体" w:hAnsi="宋体"/>
          <w:kern w:val="0"/>
          <w:sz w:val="24"/>
        </w:rPr>
      </w:pPr>
    </w:p>
    <w:p>
      <w:pPr>
        <w:spacing w:line="500" w:lineRule="exact"/>
        <w:jc w:val="center"/>
        <w:rPr>
          <w:b/>
          <w:sz w:val="32"/>
        </w:rPr>
      </w:pPr>
      <w:r>
        <w:rPr>
          <w:rFonts w:hint="eastAsia"/>
          <w:b/>
          <w:sz w:val="32"/>
        </w:rPr>
        <w:t>三、无不良记录承诺书</w:t>
      </w:r>
    </w:p>
    <w:p>
      <w:pPr>
        <w:spacing w:line="600" w:lineRule="exact"/>
        <w:rPr>
          <w:rFonts w:ascii="宋体"/>
          <w:sz w:val="24"/>
          <w:szCs w:val="28"/>
          <w:u w:val="single"/>
        </w:rPr>
      </w:pPr>
      <w:r>
        <w:rPr>
          <w:rFonts w:hint="eastAsia" w:ascii="宋体" w:hAnsi="宋体"/>
          <w:sz w:val="24"/>
          <w:szCs w:val="28"/>
          <w:u w:val="single"/>
        </w:rPr>
        <w:t>（招标人名称）：</w:t>
      </w:r>
    </w:p>
    <w:p>
      <w:pPr>
        <w:widowControl/>
        <w:spacing w:line="520" w:lineRule="exact"/>
        <w:ind w:firstLine="480" w:firstLineChars="200"/>
        <w:jc w:val="left"/>
        <w:rPr>
          <w:rFonts w:ascii="宋体"/>
          <w:sz w:val="24"/>
        </w:rPr>
      </w:pPr>
      <w:r>
        <w:rPr>
          <w:rFonts w:hint="eastAsia" w:ascii="宋体" w:hAnsi="宋体"/>
          <w:sz w:val="24"/>
        </w:rPr>
        <w:t>我方参加你方的</w:t>
      </w:r>
      <w:r>
        <w:rPr>
          <w:rFonts w:ascii="宋体" w:hAnsi="宋体"/>
          <w:sz w:val="24"/>
          <w:u w:val="single"/>
        </w:rPr>
        <w:t xml:space="preserve">  </w:t>
      </w:r>
      <w:r>
        <w:rPr>
          <w:rFonts w:hint="eastAsia" w:ascii="宋体" w:hAnsi="宋体"/>
          <w:sz w:val="24"/>
          <w:u w:val="single"/>
        </w:rPr>
        <w:t>（项目名称）</w:t>
      </w:r>
      <w:r>
        <w:rPr>
          <w:rFonts w:ascii="宋体" w:hAnsi="宋体"/>
          <w:sz w:val="24"/>
          <w:u w:val="single"/>
        </w:rPr>
        <w:t xml:space="preserve">  </w:t>
      </w:r>
      <w:r>
        <w:rPr>
          <w:rFonts w:hint="eastAsia" w:ascii="宋体" w:hAnsi="宋体"/>
          <w:sz w:val="24"/>
          <w:szCs w:val="28"/>
        </w:rPr>
        <w:t>（以下简称</w:t>
      </w:r>
      <w:r>
        <w:rPr>
          <w:rFonts w:hint="eastAsia" w:ascii="宋体"/>
          <w:sz w:val="24"/>
          <w:szCs w:val="28"/>
        </w:rPr>
        <w:t>“</w:t>
      </w:r>
      <w:r>
        <w:rPr>
          <w:rFonts w:hint="eastAsia" w:ascii="宋体" w:hAnsi="宋体"/>
          <w:sz w:val="24"/>
          <w:szCs w:val="28"/>
        </w:rPr>
        <w:t>本工程</w:t>
      </w:r>
      <w:r>
        <w:rPr>
          <w:rFonts w:hint="eastAsia" w:ascii="宋体"/>
          <w:sz w:val="24"/>
          <w:szCs w:val="28"/>
        </w:rPr>
        <w:t>”</w:t>
      </w:r>
      <w:r>
        <w:rPr>
          <w:rFonts w:hint="eastAsia" w:ascii="宋体" w:hAnsi="宋体"/>
          <w:sz w:val="24"/>
          <w:szCs w:val="28"/>
        </w:rPr>
        <w:t>）投标</w:t>
      </w:r>
      <w:r>
        <w:rPr>
          <w:rFonts w:hint="eastAsia" w:ascii="宋体" w:hAnsi="宋体"/>
          <w:sz w:val="24"/>
        </w:rPr>
        <w:t>，现我方向你方慎重承诺：</w:t>
      </w:r>
    </w:p>
    <w:p>
      <w:pPr>
        <w:widowControl/>
        <w:spacing w:line="600" w:lineRule="exact"/>
        <w:ind w:firstLine="480" w:firstLineChars="200"/>
        <w:jc w:val="left"/>
        <w:rPr>
          <w:rFonts w:ascii="宋体" w:hAnsi="宋体"/>
          <w:sz w:val="24"/>
        </w:rPr>
      </w:pPr>
      <w:r>
        <w:rPr>
          <w:rFonts w:hint="eastAsia" w:ascii="宋体" w:hAnsi="宋体"/>
          <w:sz w:val="24"/>
        </w:rPr>
        <w:t>1、企业财务和经营状况良好，具备履行合同能力，无不良经营行为；未处于被责令停业、投标资格被取消或者财产被接管、冻结和破产状态；无因骗取中标或者严重违约以及发生重大工程质量、安全生产事故等违法违规问题，被有关部门暂停投标资格并在暂停期内的。</w:t>
      </w:r>
    </w:p>
    <w:p>
      <w:pPr>
        <w:widowControl/>
        <w:spacing w:line="600" w:lineRule="exact"/>
        <w:ind w:firstLine="480" w:firstLineChars="200"/>
        <w:jc w:val="left"/>
        <w:rPr>
          <w:rFonts w:ascii="宋体" w:hAnsi="宋体"/>
          <w:sz w:val="24"/>
        </w:rPr>
      </w:pPr>
      <w:r>
        <w:rPr>
          <w:rFonts w:hint="eastAsia" w:ascii="宋体" w:hAnsi="宋体"/>
          <w:sz w:val="24"/>
        </w:rPr>
        <w:t>2、我</w:t>
      </w:r>
      <w:r>
        <w:rPr>
          <w:rFonts w:ascii="宋体" w:hAnsi="宋体"/>
          <w:sz w:val="24"/>
        </w:rPr>
        <w:t>方</w:t>
      </w:r>
      <w:r>
        <w:rPr>
          <w:rFonts w:hint="eastAsia" w:ascii="宋体" w:hAnsi="宋体"/>
          <w:sz w:val="24"/>
        </w:rPr>
        <w:t>不存在下列情形之一：</w:t>
      </w:r>
      <w:r>
        <w:rPr>
          <w:rFonts w:ascii="宋体" w:hAnsi="宋体"/>
          <w:sz w:val="24"/>
        </w:rPr>
        <w:t xml:space="preserve"> </w:t>
      </w:r>
    </w:p>
    <w:p>
      <w:pPr>
        <w:widowControl/>
        <w:spacing w:line="600" w:lineRule="exact"/>
        <w:ind w:firstLine="480" w:firstLineChars="200"/>
        <w:jc w:val="left"/>
        <w:rPr>
          <w:rFonts w:ascii="宋体" w:hAnsi="宋体"/>
          <w:sz w:val="24"/>
        </w:rPr>
      </w:pPr>
      <w:r>
        <w:rPr>
          <w:rFonts w:hint="eastAsia" w:ascii="宋体" w:hAnsi="宋体"/>
          <w:sz w:val="24"/>
        </w:rPr>
        <w:t xml:space="preserve">（1）为招标人的附属机构（单位）； </w:t>
      </w:r>
    </w:p>
    <w:p>
      <w:pPr>
        <w:widowControl/>
        <w:spacing w:line="600" w:lineRule="exact"/>
        <w:ind w:firstLine="480" w:firstLineChars="200"/>
        <w:jc w:val="left"/>
        <w:rPr>
          <w:rFonts w:ascii="宋体" w:hAnsi="宋体"/>
          <w:sz w:val="24"/>
        </w:rPr>
      </w:pPr>
      <w:r>
        <w:rPr>
          <w:rFonts w:hint="eastAsia" w:ascii="宋体" w:hAnsi="宋体"/>
          <w:sz w:val="24"/>
        </w:rPr>
        <w:t>（2）为本标段前期准备提供设计或咨询服务的，但两阶段招标的除外；</w:t>
      </w:r>
    </w:p>
    <w:p>
      <w:pPr>
        <w:widowControl/>
        <w:spacing w:line="600" w:lineRule="exact"/>
        <w:ind w:firstLine="480" w:firstLineChars="200"/>
        <w:jc w:val="left"/>
        <w:rPr>
          <w:rFonts w:ascii="宋体" w:hAnsi="宋体"/>
          <w:sz w:val="24"/>
        </w:rPr>
      </w:pPr>
      <w:r>
        <w:rPr>
          <w:rFonts w:hint="eastAsia" w:ascii="宋体" w:hAnsi="宋体"/>
          <w:sz w:val="24"/>
        </w:rPr>
        <w:t xml:space="preserve">（3）为本标段的监理人； </w:t>
      </w:r>
    </w:p>
    <w:p>
      <w:pPr>
        <w:widowControl/>
        <w:spacing w:line="600" w:lineRule="exact"/>
        <w:ind w:firstLine="480" w:firstLineChars="200"/>
        <w:jc w:val="left"/>
        <w:rPr>
          <w:rFonts w:ascii="宋体" w:hAnsi="宋体"/>
          <w:sz w:val="24"/>
        </w:rPr>
      </w:pPr>
      <w:r>
        <w:rPr>
          <w:rFonts w:hint="eastAsia" w:ascii="宋体" w:hAnsi="宋体"/>
          <w:sz w:val="24"/>
        </w:rPr>
        <w:t xml:space="preserve">（4）为本标段的代建人； </w:t>
      </w:r>
    </w:p>
    <w:p>
      <w:pPr>
        <w:widowControl/>
        <w:spacing w:line="600" w:lineRule="exact"/>
        <w:ind w:firstLine="480" w:firstLineChars="200"/>
        <w:jc w:val="left"/>
        <w:rPr>
          <w:rFonts w:ascii="宋体" w:hAnsi="宋体"/>
          <w:sz w:val="24"/>
        </w:rPr>
      </w:pPr>
      <w:r>
        <w:rPr>
          <w:rFonts w:hint="eastAsia" w:ascii="宋体" w:hAnsi="宋体"/>
          <w:sz w:val="24"/>
        </w:rPr>
        <w:t xml:space="preserve">（5）为本标段提供招标代理服务的； </w:t>
      </w:r>
    </w:p>
    <w:p>
      <w:pPr>
        <w:widowControl/>
        <w:spacing w:line="600" w:lineRule="exact"/>
        <w:ind w:firstLine="480" w:firstLineChars="200"/>
        <w:jc w:val="left"/>
        <w:rPr>
          <w:rFonts w:ascii="宋体" w:hAnsi="宋体"/>
          <w:sz w:val="24"/>
        </w:rPr>
      </w:pPr>
      <w:r>
        <w:rPr>
          <w:rFonts w:hint="eastAsia" w:ascii="宋体" w:hAnsi="宋体"/>
          <w:sz w:val="24"/>
        </w:rPr>
        <w:t xml:space="preserve">（6）与本标段的监理人或代建人或招标代理机构的单位负责人为同一个人的； </w:t>
      </w:r>
    </w:p>
    <w:p>
      <w:pPr>
        <w:widowControl/>
        <w:spacing w:line="600" w:lineRule="exact"/>
        <w:ind w:firstLine="480" w:firstLineChars="200"/>
        <w:jc w:val="left"/>
        <w:rPr>
          <w:rFonts w:ascii="宋体" w:hAnsi="宋体"/>
          <w:sz w:val="24"/>
        </w:rPr>
      </w:pPr>
      <w:r>
        <w:rPr>
          <w:rFonts w:hint="eastAsia" w:ascii="宋体" w:hAnsi="宋体"/>
          <w:sz w:val="24"/>
        </w:rPr>
        <w:t xml:space="preserve">（7）与本标段的监理人或代建人或招标代理机构相互控股或参股的； </w:t>
      </w:r>
    </w:p>
    <w:p>
      <w:pPr>
        <w:widowControl/>
        <w:spacing w:line="600" w:lineRule="exact"/>
        <w:ind w:firstLine="480" w:firstLineChars="200"/>
        <w:jc w:val="left"/>
        <w:rPr>
          <w:rFonts w:ascii="宋体" w:hAnsi="宋体"/>
          <w:sz w:val="24"/>
        </w:rPr>
      </w:pPr>
      <w:r>
        <w:rPr>
          <w:rFonts w:hint="eastAsia" w:ascii="宋体" w:hAnsi="宋体"/>
          <w:sz w:val="24"/>
        </w:rPr>
        <w:t>（8）与本标段的其他申请人的单位负责人为同一个人的；</w:t>
      </w:r>
    </w:p>
    <w:p>
      <w:pPr>
        <w:widowControl/>
        <w:spacing w:line="600" w:lineRule="exact"/>
        <w:ind w:firstLine="480" w:firstLineChars="200"/>
        <w:jc w:val="left"/>
        <w:rPr>
          <w:rFonts w:ascii="宋体" w:hAnsi="宋体"/>
          <w:sz w:val="24"/>
        </w:rPr>
      </w:pPr>
      <w:r>
        <w:rPr>
          <w:rFonts w:hint="eastAsia" w:ascii="宋体" w:hAnsi="宋体"/>
          <w:sz w:val="24"/>
        </w:rPr>
        <w:t>（9）与本标段的其他申请人之间存在控股、管理关系或母公司、全资子公司关系的；</w:t>
      </w:r>
    </w:p>
    <w:p>
      <w:pPr>
        <w:widowControl/>
        <w:spacing w:line="600" w:lineRule="exact"/>
        <w:ind w:firstLine="480" w:firstLineChars="200"/>
        <w:jc w:val="left"/>
        <w:rPr>
          <w:rFonts w:ascii="宋体" w:hAnsi="宋体"/>
          <w:sz w:val="24"/>
        </w:rPr>
      </w:pPr>
      <w:r>
        <w:rPr>
          <w:rFonts w:hint="eastAsia" w:ascii="宋体" w:hAnsi="宋体"/>
          <w:sz w:val="24"/>
        </w:rPr>
        <w:t>（10）法律法规规定的其他情形。</w:t>
      </w:r>
    </w:p>
    <w:p>
      <w:pPr>
        <w:widowControl/>
        <w:spacing w:line="600" w:lineRule="exact"/>
        <w:ind w:firstLine="480" w:firstLineChars="200"/>
        <w:jc w:val="left"/>
        <w:rPr>
          <w:rFonts w:ascii="宋体" w:hAnsi="宋体"/>
          <w:sz w:val="24"/>
        </w:rPr>
      </w:pPr>
      <w:r>
        <w:rPr>
          <w:rFonts w:hint="eastAsia" w:ascii="宋体" w:hAnsi="宋体"/>
          <w:sz w:val="24"/>
        </w:rPr>
        <w:t>如果我方经本工程评标委员会评定为第一中标候选人，在公示期间被他人举报并经招标投标监管机构核实，确认存在违反上述任何一条，你方即可取消我方第一中标候选人资格。</w:t>
      </w:r>
    </w:p>
    <w:p>
      <w:pPr>
        <w:spacing w:line="600" w:lineRule="exact"/>
        <w:rPr>
          <w:rFonts w:ascii="宋体"/>
          <w:sz w:val="24"/>
          <w:szCs w:val="28"/>
        </w:rPr>
      </w:pPr>
    </w:p>
    <w:p>
      <w:pPr>
        <w:spacing w:line="600" w:lineRule="exact"/>
        <w:rPr>
          <w:rFonts w:ascii="宋体"/>
          <w:sz w:val="24"/>
          <w:szCs w:val="28"/>
        </w:rPr>
      </w:pPr>
    </w:p>
    <w:p>
      <w:pPr>
        <w:spacing w:line="600" w:lineRule="exact"/>
        <w:rPr>
          <w:rFonts w:ascii="宋体"/>
          <w:sz w:val="24"/>
          <w:szCs w:val="28"/>
        </w:rPr>
      </w:pPr>
    </w:p>
    <w:p>
      <w:pPr>
        <w:spacing w:line="480" w:lineRule="auto"/>
        <w:ind w:right="-512" w:rightChars="-244"/>
        <w:rPr>
          <w:rFonts w:ascii="宋体"/>
          <w:sz w:val="24"/>
          <w:szCs w:val="28"/>
        </w:rPr>
      </w:pPr>
      <w:r>
        <w:rPr>
          <w:rFonts w:hint="eastAsia" w:ascii="宋体" w:hAnsi="宋体"/>
          <w:sz w:val="24"/>
          <w:szCs w:val="28"/>
        </w:rPr>
        <w:t>投标人（盖单位章）：</w:t>
      </w:r>
      <w:r>
        <w:rPr>
          <w:rFonts w:ascii="宋体" w:hAnsi="宋体"/>
          <w:sz w:val="24"/>
          <w:szCs w:val="28"/>
          <w:u w:val="single"/>
        </w:rPr>
        <w:t xml:space="preserve">                 </w:t>
      </w:r>
      <w:r>
        <w:rPr>
          <w:rFonts w:ascii="宋体" w:hAnsi="宋体"/>
          <w:sz w:val="24"/>
          <w:szCs w:val="28"/>
        </w:rPr>
        <w:t xml:space="preserve"> </w:t>
      </w:r>
    </w:p>
    <w:p>
      <w:pPr>
        <w:tabs>
          <w:tab w:val="left" w:pos="4320"/>
        </w:tabs>
        <w:spacing w:line="480" w:lineRule="auto"/>
        <w:ind w:right="-512" w:rightChars="-244"/>
        <w:rPr>
          <w:rFonts w:ascii="宋体"/>
          <w:sz w:val="24"/>
          <w:szCs w:val="28"/>
        </w:rPr>
      </w:pPr>
      <w:r>
        <w:rPr>
          <w:rFonts w:hint="eastAsia" w:ascii="宋体" w:hAnsi="宋体"/>
          <w:sz w:val="24"/>
          <w:szCs w:val="28"/>
        </w:rPr>
        <w:t>法定代表人（签字或盖章）：</w:t>
      </w:r>
      <w:r>
        <w:rPr>
          <w:rFonts w:ascii="宋体" w:hAnsi="宋体"/>
          <w:sz w:val="24"/>
          <w:szCs w:val="28"/>
          <w:u w:val="single"/>
        </w:rPr>
        <w:t xml:space="preserve">               </w:t>
      </w:r>
      <w:r>
        <w:rPr>
          <w:rFonts w:ascii="宋体" w:hAnsi="宋体"/>
          <w:sz w:val="24"/>
          <w:szCs w:val="28"/>
        </w:rPr>
        <w:t xml:space="preserve"> </w:t>
      </w:r>
    </w:p>
    <w:p>
      <w:pPr>
        <w:rPr>
          <w:rFonts w:ascii="宋体" w:hAnsi="宋体"/>
          <w:sz w:val="24"/>
          <w:szCs w:val="28"/>
        </w:rPr>
      </w:pPr>
      <w:r>
        <w:rPr>
          <w:rFonts w:ascii="宋体" w:hAnsi="宋体"/>
          <w:sz w:val="24"/>
          <w:szCs w:val="28"/>
        </w:rPr>
        <w:t xml:space="preserve"> </w:t>
      </w:r>
      <w:r>
        <w:rPr>
          <w:rFonts w:ascii="宋体" w:hAnsi="宋体"/>
          <w:sz w:val="24"/>
          <w:szCs w:val="28"/>
          <w:u w:val="single"/>
        </w:rPr>
        <w:t xml:space="preserve">          </w:t>
      </w:r>
      <w:r>
        <w:rPr>
          <w:rFonts w:hint="eastAsia" w:ascii="宋体" w:hAnsi="宋体"/>
          <w:sz w:val="24"/>
          <w:szCs w:val="28"/>
        </w:rPr>
        <w:t>年</w:t>
      </w:r>
      <w:r>
        <w:rPr>
          <w:rFonts w:ascii="宋体" w:hAnsi="宋体"/>
          <w:sz w:val="24"/>
          <w:szCs w:val="28"/>
          <w:u w:val="single"/>
        </w:rPr>
        <w:t xml:space="preserve">      </w:t>
      </w:r>
      <w:r>
        <w:rPr>
          <w:rFonts w:hint="eastAsia" w:ascii="宋体" w:hAnsi="宋体"/>
          <w:sz w:val="24"/>
          <w:szCs w:val="28"/>
        </w:rPr>
        <w:t>月</w:t>
      </w:r>
      <w:r>
        <w:rPr>
          <w:rFonts w:ascii="宋体" w:hAnsi="宋体"/>
          <w:sz w:val="24"/>
          <w:szCs w:val="28"/>
          <w:u w:val="single"/>
        </w:rPr>
        <w:t xml:space="preserve">     </w:t>
      </w:r>
      <w:r>
        <w:rPr>
          <w:rFonts w:hint="eastAsia" w:ascii="宋体" w:hAnsi="宋体"/>
          <w:sz w:val="24"/>
          <w:szCs w:val="28"/>
        </w:rPr>
        <w:t>日</w:t>
      </w:r>
    </w:p>
    <w:p>
      <w:pPr>
        <w:rPr>
          <w:rFonts w:ascii="宋体" w:hAnsi="宋体"/>
          <w:sz w:val="24"/>
          <w:szCs w:val="28"/>
        </w:rPr>
      </w:pPr>
    </w:p>
    <w:p>
      <w:pPr>
        <w:rPr>
          <w:rFonts w:ascii="宋体" w:hAnsi="宋体"/>
          <w:sz w:val="24"/>
          <w:szCs w:val="28"/>
        </w:rPr>
      </w:pPr>
    </w:p>
    <w:p>
      <w:pPr>
        <w:rPr>
          <w:rFonts w:ascii="宋体" w:hAnsi="宋体"/>
          <w:sz w:val="24"/>
          <w:szCs w:val="28"/>
        </w:rPr>
      </w:pPr>
    </w:p>
    <w:p>
      <w:pPr>
        <w:rPr>
          <w:rFonts w:ascii="宋体" w:hAnsi="宋体"/>
          <w:sz w:val="24"/>
          <w:szCs w:val="28"/>
        </w:rPr>
      </w:pPr>
    </w:p>
    <w:p>
      <w:pPr>
        <w:rPr>
          <w:rFonts w:ascii="宋体" w:hAnsi="宋体"/>
          <w:sz w:val="24"/>
          <w:szCs w:val="28"/>
        </w:rPr>
      </w:pPr>
    </w:p>
    <w:p>
      <w:pPr>
        <w:rPr>
          <w:rFonts w:ascii="宋体" w:hAnsi="宋体"/>
          <w:sz w:val="24"/>
          <w:szCs w:val="28"/>
        </w:rPr>
      </w:pPr>
    </w:p>
    <w:p>
      <w:pPr>
        <w:rPr>
          <w:rFonts w:ascii="宋体" w:hAnsi="宋体"/>
          <w:sz w:val="24"/>
          <w:szCs w:val="28"/>
        </w:rPr>
      </w:pPr>
    </w:p>
    <w:p>
      <w:pPr>
        <w:rPr>
          <w:rFonts w:ascii="宋体" w:hAnsi="宋体"/>
          <w:sz w:val="24"/>
          <w:szCs w:val="28"/>
        </w:rPr>
      </w:pPr>
    </w:p>
    <w:p>
      <w:pPr>
        <w:rPr>
          <w:rFonts w:ascii="宋体" w:hAnsi="宋体"/>
          <w:sz w:val="24"/>
          <w:szCs w:val="28"/>
        </w:rPr>
      </w:pPr>
    </w:p>
    <w:p>
      <w:pPr>
        <w:rPr>
          <w:rFonts w:ascii="宋体" w:hAnsi="宋体"/>
          <w:sz w:val="24"/>
          <w:szCs w:val="28"/>
        </w:rPr>
      </w:pPr>
    </w:p>
    <w:p>
      <w:pPr>
        <w:rPr>
          <w:rFonts w:ascii="宋体" w:hAnsi="宋体"/>
          <w:sz w:val="24"/>
          <w:szCs w:val="28"/>
        </w:rPr>
      </w:pPr>
    </w:p>
    <w:p>
      <w:pPr>
        <w:rPr>
          <w:rFonts w:ascii="宋体" w:hAnsi="宋体"/>
          <w:sz w:val="24"/>
          <w:szCs w:val="28"/>
        </w:rPr>
      </w:pPr>
    </w:p>
    <w:p>
      <w:pPr>
        <w:rPr>
          <w:rFonts w:ascii="宋体" w:hAnsi="宋体"/>
          <w:sz w:val="24"/>
          <w:szCs w:val="28"/>
        </w:rPr>
      </w:pPr>
    </w:p>
    <w:p>
      <w:pPr>
        <w:rPr>
          <w:rFonts w:ascii="宋体" w:hAnsi="宋体"/>
          <w:sz w:val="24"/>
          <w:szCs w:val="28"/>
        </w:rPr>
      </w:pPr>
    </w:p>
    <w:p>
      <w:pPr>
        <w:rPr>
          <w:rFonts w:ascii="宋体" w:hAnsi="宋体"/>
          <w:sz w:val="24"/>
          <w:szCs w:val="28"/>
        </w:rPr>
      </w:pPr>
    </w:p>
    <w:p>
      <w:pPr>
        <w:rPr>
          <w:rFonts w:ascii="宋体" w:hAnsi="宋体"/>
          <w:sz w:val="24"/>
          <w:szCs w:val="28"/>
        </w:rPr>
      </w:pPr>
    </w:p>
    <w:p>
      <w:pPr>
        <w:rPr>
          <w:rFonts w:ascii="宋体" w:hAnsi="宋体"/>
          <w:sz w:val="24"/>
          <w:szCs w:val="28"/>
        </w:rPr>
      </w:pPr>
    </w:p>
    <w:p>
      <w:pPr>
        <w:rPr>
          <w:rFonts w:ascii="宋体" w:hAnsi="宋体"/>
          <w:sz w:val="24"/>
          <w:szCs w:val="28"/>
        </w:rPr>
      </w:pPr>
    </w:p>
    <w:p>
      <w:pPr>
        <w:rPr>
          <w:rFonts w:ascii="宋体" w:hAnsi="宋体"/>
          <w:sz w:val="24"/>
          <w:szCs w:val="28"/>
        </w:rPr>
      </w:pPr>
    </w:p>
    <w:p>
      <w:pPr>
        <w:rPr>
          <w:rFonts w:ascii="宋体" w:hAnsi="宋体"/>
          <w:sz w:val="24"/>
          <w:szCs w:val="28"/>
        </w:rPr>
      </w:pPr>
    </w:p>
    <w:p>
      <w:pPr>
        <w:rPr>
          <w:rFonts w:ascii="宋体" w:hAnsi="宋体"/>
          <w:sz w:val="24"/>
          <w:szCs w:val="28"/>
        </w:rPr>
      </w:pPr>
    </w:p>
    <w:p>
      <w:pPr>
        <w:rPr>
          <w:rFonts w:ascii="宋体" w:hAnsi="宋体"/>
          <w:sz w:val="24"/>
          <w:szCs w:val="28"/>
        </w:rPr>
      </w:pPr>
    </w:p>
    <w:p>
      <w:pPr>
        <w:rPr>
          <w:rFonts w:ascii="宋体" w:hAnsi="宋体"/>
          <w:sz w:val="24"/>
          <w:szCs w:val="28"/>
        </w:rPr>
      </w:pPr>
    </w:p>
    <w:p>
      <w:pPr>
        <w:rPr>
          <w:rFonts w:ascii="宋体" w:hAnsi="宋体"/>
          <w:sz w:val="24"/>
          <w:szCs w:val="28"/>
        </w:rPr>
      </w:pPr>
    </w:p>
    <w:p>
      <w:pPr>
        <w:rPr>
          <w:rFonts w:ascii="宋体" w:hAnsi="宋体"/>
          <w:sz w:val="24"/>
          <w:szCs w:val="28"/>
        </w:rPr>
      </w:pPr>
    </w:p>
    <w:p>
      <w:pPr>
        <w:rPr>
          <w:rFonts w:ascii="宋体" w:hAnsi="宋体"/>
          <w:sz w:val="24"/>
          <w:szCs w:val="28"/>
        </w:rPr>
      </w:pPr>
    </w:p>
    <w:p>
      <w:pPr>
        <w:rPr>
          <w:rFonts w:ascii="宋体" w:hAnsi="宋体"/>
          <w:sz w:val="24"/>
          <w:szCs w:val="28"/>
        </w:rPr>
      </w:pPr>
    </w:p>
    <w:p>
      <w:pPr>
        <w:spacing w:line="360" w:lineRule="auto"/>
        <w:jc w:val="left"/>
        <w:outlineLvl w:val="2"/>
        <w:rPr>
          <w:rFonts w:ascii="宋体" w:hAnsi="宋体" w:cs="仿宋"/>
          <w:b/>
          <w:sz w:val="28"/>
          <w:szCs w:val="28"/>
        </w:rPr>
      </w:pPr>
      <w:r>
        <w:rPr>
          <w:rFonts w:hint="eastAsia"/>
          <w:b/>
          <w:kern w:val="0"/>
          <w:sz w:val="32"/>
          <w:szCs w:val="20"/>
        </w:rPr>
        <w:t>B、</w:t>
      </w:r>
      <w:r>
        <w:rPr>
          <w:rFonts w:hint="eastAsia" w:ascii="宋体" w:hAnsi="宋体" w:cs="仿宋"/>
          <w:b/>
          <w:sz w:val="28"/>
          <w:szCs w:val="28"/>
        </w:rPr>
        <w:t>商务技术标格式</w:t>
      </w:r>
    </w:p>
    <w:p>
      <w:pPr>
        <w:spacing w:line="360" w:lineRule="auto"/>
        <w:jc w:val="center"/>
        <w:outlineLvl w:val="2"/>
        <w:rPr>
          <w:rFonts w:ascii="宋体" w:hAnsi="宋体" w:cs="仿宋"/>
          <w:b/>
          <w:sz w:val="28"/>
          <w:szCs w:val="28"/>
        </w:rPr>
      </w:pPr>
      <w:r>
        <w:rPr>
          <w:rFonts w:hint="eastAsia" w:ascii="宋体" w:hAnsi="宋体" w:cs="仿宋"/>
          <w:b/>
          <w:sz w:val="28"/>
          <w:szCs w:val="28"/>
        </w:rPr>
        <w:t>一、技术规格偏离表</w:t>
      </w:r>
    </w:p>
    <w:tbl>
      <w:tblPr>
        <w:tblStyle w:val="50"/>
        <w:tblW w:w="833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601"/>
        <w:gridCol w:w="1561"/>
        <w:gridCol w:w="1208"/>
        <w:gridCol w:w="1019"/>
        <w:gridCol w:w="1019"/>
        <w:gridCol w:w="1123"/>
        <w:gridCol w:w="18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18" w:hRule="atLeast"/>
          <w:jc w:val="center"/>
        </w:trPr>
        <w:tc>
          <w:tcPr>
            <w:tcW w:w="601" w:type="dxa"/>
            <w:vAlign w:val="center"/>
          </w:tcPr>
          <w:p>
            <w:pPr>
              <w:spacing w:before="240" w:line="360" w:lineRule="auto"/>
              <w:ind w:firstLine="105" w:firstLineChars="50"/>
              <w:rPr>
                <w:rFonts w:ascii="宋体" w:hAnsi="宋体" w:cs="仿宋"/>
                <w:szCs w:val="20"/>
              </w:rPr>
            </w:pPr>
            <w:r>
              <w:rPr>
                <w:rFonts w:hint="eastAsia" w:ascii="宋体" w:hAnsi="宋体" w:cs="仿宋"/>
                <w:szCs w:val="20"/>
              </w:rPr>
              <w:t>序号</w:t>
            </w:r>
          </w:p>
        </w:tc>
        <w:tc>
          <w:tcPr>
            <w:tcW w:w="1561" w:type="dxa"/>
            <w:vAlign w:val="center"/>
          </w:tcPr>
          <w:p>
            <w:pPr>
              <w:spacing w:before="240" w:line="360" w:lineRule="auto"/>
              <w:jc w:val="center"/>
              <w:rPr>
                <w:rFonts w:ascii="宋体" w:hAnsi="宋体" w:cs="仿宋"/>
                <w:szCs w:val="20"/>
              </w:rPr>
            </w:pPr>
            <w:r>
              <w:rPr>
                <w:rFonts w:hint="eastAsia" w:ascii="宋体" w:hAnsi="宋体" w:cs="仿宋"/>
                <w:szCs w:val="20"/>
              </w:rPr>
              <w:t>货物名称</w:t>
            </w:r>
          </w:p>
        </w:tc>
        <w:tc>
          <w:tcPr>
            <w:tcW w:w="1208" w:type="dxa"/>
            <w:vAlign w:val="center"/>
          </w:tcPr>
          <w:p>
            <w:pPr>
              <w:spacing w:before="240" w:line="360" w:lineRule="auto"/>
              <w:rPr>
                <w:rFonts w:ascii="宋体" w:hAnsi="宋体" w:cs="仿宋"/>
                <w:szCs w:val="20"/>
              </w:rPr>
            </w:pPr>
            <w:r>
              <w:rPr>
                <w:rFonts w:hint="eastAsia" w:ascii="宋体" w:hAnsi="宋体" w:cs="仿宋"/>
                <w:szCs w:val="20"/>
              </w:rPr>
              <w:t>招标文件</w:t>
            </w:r>
            <w:r>
              <w:rPr>
                <w:rFonts w:hint="eastAsia" w:ascii="宋体" w:hAnsi="宋体" w:cs="仿宋"/>
                <w:szCs w:val="20"/>
              </w:rPr>
              <w:br w:type="textWrapping"/>
            </w:r>
            <w:r>
              <w:rPr>
                <w:rFonts w:hint="eastAsia" w:ascii="宋体" w:hAnsi="宋体" w:cs="仿宋"/>
                <w:szCs w:val="20"/>
              </w:rPr>
              <w:t>条目号</w:t>
            </w:r>
          </w:p>
        </w:tc>
        <w:tc>
          <w:tcPr>
            <w:tcW w:w="1019" w:type="dxa"/>
            <w:vAlign w:val="center"/>
          </w:tcPr>
          <w:p>
            <w:pPr>
              <w:spacing w:before="240" w:line="360" w:lineRule="auto"/>
              <w:rPr>
                <w:rFonts w:ascii="宋体" w:hAnsi="宋体" w:cs="仿宋"/>
                <w:szCs w:val="20"/>
              </w:rPr>
            </w:pPr>
            <w:r>
              <w:rPr>
                <w:rFonts w:hint="eastAsia" w:ascii="宋体" w:hAnsi="宋体" w:cs="仿宋"/>
                <w:szCs w:val="20"/>
              </w:rPr>
              <w:t>招标规格</w:t>
            </w:r>
          </w:p>
        </w:tc>
        <w:tc>
          <w:tcPr>
            <w:tcW w:w="1019" w:type="dxa"/>
            <w:vAlign w:val="center"/>
          </w:tcPr>
          <w:p>
            <w:pPr>
              <w:spacing w:before="240" w:line="360" w:lineRule="auto"/>
              <w:rPr>
                <w:rFonts w:ascii="宋体" w:hAnsi="宋体" w:cs="仿宋"/>
                <w:szCs w:val="20"/>
              </w:rPr>
            </w:pPr>
            <w:r>
              <w:rPr>
                <w:rFonts w:hint="eastAsia" w:ascii="宋体" w:hAnsi="宋体" w:cs="仿宋"/>
                <w:szCs w:val="20"/>
              </w:rPr>
              <w:t>投标规格</w:t>
            </w:r>
          </w:p>
        </w:tc>
        <w:tc>
          <w:tcPr>
            <w:tcW w:w="1123" w:type="dxa"/>
            <w:vAlign w:val="center"/>
          </w:tcPr>
          <w:p>
            <w:pPr>
              <w:spacing w:before="240" w:line="360" w:lineRule="auto"/>
              <w:ind w:firstLine="105" w:firstLineChars="50"/>
              <w:rPr>
                <w:rFonts w:ascii="宋体" w:hAnsi="宋体" w:cs="仿宋"/>
                <w:szCs w:val="20"/>
              </w:rPr>
            </w:pPr>
            <w:r>
              <w:rPr>
                <w:rFonts w:hint="eastAsia" w:ascii="宋体" w:hAnsi="宋体" w:cs="仿宋"/>
                <w:szCs w:val="20"/>
              </w:rPr>
              <w:t>响应/偏离</w:t>
            </w:r>
          </w:p>
        </w:tc>
        <w:tc>
          <w:tcPr>
            <w:tcW w:w="1807" w:type="dxa"/>
            <w:vAlign w:val="center"/>
          </w:tcPr>
          <w:p>
            <w:pPr>
              <w:spacing w:before="240" w:line="360" w:lineRule="auto"/>
              <w:ind w:firstLine="630" w:firstLineChars="300"/>
              <w:rPr>
                <w:rFonts w:ascii="宋体" w:hAnsi="宋体" w:cs="仿宋"/>
                <w:szCs w:val="20"/>
              </w:rPr>
            </w:pPr>
            <w:r>
              <w:rPr>
                <w:rFonts w:hint="eastAsia" w:ascii="宋体" w:hAnsi="宋体" w:cs="仿宋"/>
                <w:szCs w:val="20"/>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18" w:hRule="atLeast"/>
          <w:jc w:val="center"/>
        </w:trPr>
        <w:tc>
          <w:tcPr>
            <w:tcW w:w="601" w:type="dxa"/>
            <w:vAlign w:val="center"/>
          </w:tcPr>
          <w:p>
            <w:pPr>
              <w:adjustRightInd w:val="0"/>
              <w:spacing w:after="60" w:line="360" w:lineRule="auto"/>
              <w:ind w:left="63" w:leftChars="30" w:right="63" w:rightChars="30"/>
              <w:jc w:val="center"/>
              <w:textAlignment w:val="baseline"/>
              <w:rPr>
                <w:rFonts w:ascii="宋体" w:hAnsi="宋体" w:cs="仿宋"/>
                <w:szCs w:val="22"/>
              </w:rPr>
            </w:pPr>
          </w:p>
        </w:tc>
        <w:tc>
          <w:tcPr>
            <w:tcW w:w="1561" w:type="dxa"/>
            <w:vAlign w:val="center"/>
          </w:tcPr>
          <w:p>
            <w:pPr>
              <w:adjustRightInd w:val="0"/>
              <w:spacing w:after="60" w:line="360" w:lineRule="auto"/>
              <w:ind w:left="63" w:leftChars="30" w:right="63" w:rightChars="30"/>
              <w:jc w:val="center"/>
              <w:textAlignment w:val="baseline"/>
              <w:rPr>
                <w:rFonts w:ascii="宋体" w:hAnsi="宋体" w:cs="仿宋"/>
                <w:szCs w:val="22"/>
              </w:rPr>
            </w:pPr>
          </w:p>
        </w:tc>
        <w:tc>
          <w:tcPr>
            <w:tcW w:w="1208" w:type="dxa"/>
            <w:vAlign w:val="center"/>
          </w:tcPr>
          <w:p>
            <w:pPr>
              <w:adjustRightInd w:val="0"/>
              <w:spacing w:after="60" w:line="360" w:lineRule="auto"/>
              <w:ind w:left="63" w:leftChars="30" w:right="63" w:rightChars="30"/>
              <w:jc w:val="center"/>
              <w:textAlignment w:val="baseline"/>
              <w:rPr>
                <w:rFonts w:ascii="宋体" w:hAnsi="宋体" w:cs="仿宋"/>
                <w:szCs w:val="22"/>
              </w:rPr>
            </w:pPr>
          </w:p>
        </w:tc>
        <w:tc>
          <w:tcPr>
            <w:tcW w:w="1019" w:type="dxa"/>
            <w:vAlign w:val="center"/>
          </w:tcPr>
          <w:p>
            <w:pPr>
              <w:adjustRightInd w:val="0"/>
              <w:spacing w:after="60" w:line="360" w:lineRule="auto"/>
              <w:ind w:left="63" w:leftChars="30" w:right="63" w:rightChars="30"/>
              <w:jc w:val="center"/>
              <w:textAlignment w:val="baseline"/>
              <w:rPr>
                <w:rFonts w:ascii="宋体" w:hAnsi="宋体" w:cs="仿宋"/>
                <w:szCs w:val="22"/>
              </w:rPr>
            </w:pPr>
          </w:p>
        </w:tc>
        <w:tc>
          <w:tcPr>
            <w:tcW w:w="1019" w:type="dxa"/>
            <w:vAlign w:val="center"/>
          </w:tcPr>
          <w:p>
            <w:pPr>
              <w:adjustRightInd w:val="0"/>
              <w:spacing w:after="60" w:line="360" w:lineRule="auto"/>
              <w:ind w:left="63" w:leftChars="30" w:right="63" w:rightChars="30"/>
              <w:jc w:val="center"/>
              <w:textAlignment w:val="baseline"/>
              <w:rPr>
                <w:rFonts w:ascii="宋体" w:hAnsi="宋体" w:cs="仿宋"/>
                <w:szCs w:val="22"/>
              </w:rPr>
            </w:pPr>
          </w:p>
        </w:tc>
        <w:tc>
          <w:tcPr>
            <w:tcW w:w="1123" w:type="dxa"/>
            <w:vAlign w:val="center"/>
          </w:tcPr>
          <w:p>
            <w:pPr>
              <w:adjustRightInd w:val="0"/>
              <w:spacing w:after="60" w:line="360" w:lineRule="auto"/>
              <w:ind w:left="63" w:leftChars="30" w:right="63" w:rightChars="30"/>
              <w:jc w:val="center"/>
              <w:textAlignment w:val="baseline"/>
              <w:rPr>
                <w:rFonts w:ascii="宋体" w:hAnsi="宋体" w:cs="仿宋"/>
                <w:szCs w:val="22"/>
              </w:rPr>
            </w:pPr>
          </w:p>
        </w:tc>
        <w:tc>
          <w:tcPr>
            <w:tcW w:w="1807" w:type="dxa"/>
            <w:vAlign w:val="center"/>
          </w:tcPr>
          <w:p>
            <w:pPr>
              <w:adjustRightInd w:val="0"/>
              <w:spacing w:after="60" w:line="360" w:lineRule="auto"/>
              <w:ind w:left="63" w:leftChars="30" w:right="63" w:rightChars="30"/>
              <w:jc w:val="center"/>
              <w:textAlignment w:val="baseline"/>
              <w:rPr>
                <w:rFonts w:ascii="宋体" w:hAnsi="宋体" w:cs="仿宋"/>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18" w:hRule="atLeast"/>
          <w:jc w:val="center"/>
        </w:trPr>
        <w:tc>
          <w:tcPr>
            <w:tcW w:w="601" w:type="dxa"/>
            <w:vAlign w:val="center"/>
          </w:tcPr>
          <w:p>
            <w:pPr>
              <w:adjustRightInd w:val="0"/>
              <w:spacing w:after="60" w:line="360" w:lineRule="auto"/>
              <w:ind w:left="63" w:leftChars="30" w:right="63" w:rightChars="30"/>
              <w:jc w:val="center"/>
              <w:textAlignment w:val="baseline"/>
              <w:rPr>
                <w:rFonts w:ascii="宋体" w:hAnsi="宋体" w:cs="仿宋"/>
                <w:szCs w:val="22"/>
              </w:rPr>
            </w:pPr>
          </w:p>
        </w:tc>
        <w:tc>
          <w:tcPr>
            <w:tcW w:w="1561" w:type="dxa"/>
            <w:vAlign w:val="center"/>
          </w:tcPr>
          <w:p>
            <w:pPr>
              <w:adjustRightInd w:val="0"/>
              <w:spacing w:after="60" w:line="360" w:lineRule="auto"/>
              <w:ind w:left="63" w:leftChars="30" w:right="63" w:rightChars="30"/>
              <w:jc w:val="center"/>
              <w:textAlignment w:val="baseline"/>
              <w:rPr>
                <w:rFonts w:ascii="宋体" w:hAnsi="宋体" w:cs="仿宋"/>
                <w:szCs w:val="22"/>
              </w:rPr>
            </w:pPr>
          </w:p>
        </w:tc>
        <w:tc>
          <w:tcPr>
            <w:tcW w:w="1208" w:type="dxa"/>
            <w:vAlign w:val="center"/>
          </w:tcPr>
          <w:p>
            <w:pPr>
              <w:adjustRightInd w:val="0"/>
              <w:spacing w:after="60" w:line="360" w:lineRule="auto"/>
              <w:ind w:left="63" w:leftChars="30" w:right="63" w:rightChars="30"/>
              <w:jc w:val="center"/>
              <w:textAlignment w:val="baseline"/>
              <w:rPr>
                <w:rFonts w:ascii="宋体" w:hAnsi="宋体" w:cs="仿宋"/>
                <w:szCs w:val="22"/>
              </w:rPr>
            </w:pPr>
          </w:p>
        </w:tc>
        <w:tc>
          <w:tcPr>
            <w:tcW w:w="1019" w:type="dxa"/>
            <w:vAlign w:val="center"/>
          </w:tcPr>
          <w:p>
            <w:pPr>
              <w:adjustRightInd w:val="0"/>
              <w:spacing w:after="60" w:line="360" w:lineRule="auto"/>
              <w:ind w:left="63" w:leftChars="30" w:right="63" w:rightChars="30"/>
              <w:jc w:val="center"/>
              <w:textAlignment w:val="baseline"/>
              <w:rPr>
                <w:rFonts w:ascii="宋体" w:hAnsi="宋体" w:cs="仿宋"/>
                <w:szCs w:val="22"/>
              </w:rPr>
            </w:pPr>
          </w:p>
        </w:tc>
        <w:tc>
          <w:tcPr>
            <w:tcW w:w="1019" w:type="dxa"/>
            <w:vAlign w:val="center"/>
          </w:tcPr>
          <w:p>
            <w:pPr>
              <w:adjustRightInd w:val="0"/>
              <w:spacing w:after="60" w:line="360" w:lineRule="auto"/>
              <w:ind w:left="63" w:leftChars="30" w:right="63" w:rightChars="30"/>
              <w:jc w:val="center"/>
              <w:textAlignment w:val="baseline"/>
              <w:rPr>
                <w:rFonts w:ascii="宋体" w:hAnsi="宋体" w:cs="仿宋"/>
                <w:szCs w:val="22"/>
              </w:rPr>
            </w:pPr>
          </w:p>
        </w:tc>
        <w:tc>
          <w:tcPr>
            <w:tcW w:w="1123" w:type="dxa"/>
            <w:vAlign w:val="center"/>
          </w:tcPr>
          <w:p>
            <w:pPr>
              <w:adjustRightInd w:val="0"/>
              <w:spacing w:after="60" w:line="360" w:lineRule="auto"/>
              <w:ind w:left="63" w:leftChars="30" w:right="63" w:rightChars="30"/>
              <w:jc w:val="center"/>
              <w:textAlignment w:val="baseline"/>
              <w:rPr>
                <w:rFonts w:ascii="宋体" w:hAnsi="宋体" w:cs="仿宋"/>
                <w:szCs w:val="22"/>
              </w:rPr>
            </w:pPr>
          </w:p>
        </w:tc>
        <w:tc>
          <w:tcPr>
            <w:tcW w:w="1807" w:type="dxa"/>
            <w:vAlign w:val="center"/>
          </w:tcPr>
          <w:p>
            <w:pPr>
              <w:adjustRightInd w:val="0"/>
              <w:spacing w:after="60" w:line="360" w:lineRule="auto"/>
              <w:ind w:left="63" w:leftChars="30" w:right="63" w:rightChars="30"/>
              <w:jc w:val="center"/>
              <w:textAlignment w:val="baseline"/>
              <w:rPr>
                <w:rFonts w:ascii="宋体" w:hAnsi="宋体" w:cs="仿宋"/>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18" w:hRule="atLeast"/>
          <w:jc w:val="center"/>
        </w:trPr>
        <w:tc>
          <w:tcPr>
            <w:tcW w:w="601" w:type="dxa"/>
            <w:vAlign w:val="center"/>
          </w:tcPr>
          <w:p>
            <w:pPr>
              <w:adjustRightInd w:val="0"/>
              <w:spacing w:after="60" w:line="360" w:lineRule="auto"/>
              <w:ind w:left="63" w:leftChars="30" w:right="63" w:rightChars="30"/>
              <w:jc w:val="center"/>
              <w:textAlignment w:val="baseline"/>
              <w:rPr>
                <w:rFonts w:ascii="宋体" w:hAnsi="宋体" w:cs="仿宋"/>
                <w:szCs w:val="22"/>
              </w:rPr>
            </w:pPr>
          </w:p>
        </w:tc>
        <w:tc>
          <w:tcPr>
            <w:tcW w:w="1561" w:type="dxa"/>
            <w:vAlign w:val="center"/>
          </w:tcPr>
          <w:p>
            <w:pPr>
              <w:adjustRightInd w:val="0"/>
              <w:spacing w:after="60" w:line="360" w:lineRule="auto"/>
              <w:ind w:left="63" w:leftChars="30" w:right="63" w:rightChars="30"/>
              <w:jc w:val="center"/>
              <w:textAlignment w:val="baseline"/>
              <w:rPr>
                <w:rFonts w:ascii="宋体" w:hAnsi="宋体" w:cs="仿宋"/>
                <w:szCs w:val="22"/>
              </w:rPr>
            </w:pPr>
          </w:p>
        </w:tc>
        <w:tc>
          <w:tcPr>
            <w:tcW w:w="1208" w:type="dxa"/>
            <w:vAlign w:val="center"/>
          </w:tcPr>
          <w:p>
            <w:pPr>
              <w:adjustRightInd w:val="0"/>
              <w:spacing w:after="60" w:line="360" w:lineRule="auto"/>
              <w:ind w:left="63" w:leftChars="30" w:right="63" w:rightChars="30"/>
              <w:jc w:val="center"/>
              <w:textAlignment w:val="baseline"/>
              <w:rPr>
                <w:rFonts w:ascii="宋体" w:hAnsi="宋体" w:cs="仿宋"/>
                <w:szCs w:val="22"/>
              </w:rPr>
            </w:pPr>
          </w:p>
        </w:tc>
        <w:tc>
          <w:tcPr>
            <w:tcW w:w="1019" w:type="dxa"/>
            <w:vAlign w:val="center"/>
          </w:tcPr>
          <w:p>
            <w:pPr>
              <w:adjustRightInd w:val="0"/>
              <w:spacing w:after="60" w:line="360" w:lineRule="auto"/>
              <w:ind w:left="63" w:leftChars="30" w:right="63" w:rightChars="30"/>
              <w:jc w:val="center"/>
              <w:textAlignment w:val="baseline"/>
              <w:rPr>
                <w:rFonts w:ascii="宋体" w:hAnsi="宋体" w:cs="仿宋"/>
                <w:szCs w:val="22"/>
              </w:rPr>
            </w:pPr>
          </w:p>
        </w:tc>
        <w:tc>
          <w:tcPr>
            <w:tcW w:w="1019" w:type="dxa"/>
            <w:vAlign w:val="center"/>
          </w:tcPr>
          <w:p>
            <w:pPr>
              <w:adjustRightInd w:val="0"/>
              <w:spacing w:after="60" w:line="360" w:lineRule="auto"/>
              <w:ind w:left="63" w:leftChars="30" w:right="63" w:rightChars="30"/>
              <w:jc w:val="center"/>
              <w:textAlignment w:val="baseline"/>
              <w:rPr>
                <w:rFonts w:ascii="宋体" w:hAnsi="宋体" w:cs="仿宋"/>
                <w:szCs w:val="22"/>
              </w:rPr>
            </w:pPr>
          </w:p>
        </w:tc>
        <w:tc>
          <w:tcPr>
            <w:tcW w:w="1123" w:type="dxa"/>
            <w:vAlign w:val="center"/>
          </w:tcPr>
          <w:p>
            <w:pPr>
              <w:adjustRightInd w:val="0"/>
              <w:spacing w:after="60" w:line="360" w:lineRule="auto"/>
              <w:ind w:left="63" w:leftChars="30" w:right="63" w:rightChars="30"/>
              <w:jc w:val="center"/>
              <w:textAlignment w:val="baseline"/>
              <w:rPr>
                <w:rFonts w:ascii="宋体" w:hAnsi="宋体" w:cs="仿宋"/>
                <w:szCs w:val="22"/>
              </w:rPr>
            </w:pPr>
          </w:p>
        </w:tc>
        <w:tc>
          <w:tcPr>
            <w:tcW w:w="1807" w:type="dxa"/>
            <w:vAlign w:val="center"/>
          </w:tcPr>
          <w:p>
            <w:pPr>
              <w:adjustRightInd w:val="0"/>
              <w:spacing w:after="60" w:line="360" w:lineRule="auto"/>
              <w:ind w:left="63" w:leftChars="30" w:right="63" w:rightChars="30"/>
              <w:jc w:val="center"/>
              <w:textAlignment w:val="baseline"/>
              <w:rPr>
                <w:rFonts w:ascii="宋体" w:hAnsi="宋体" w:cs="仿宋"/>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18" w:hRule="atLeast"/>
          <w:jc w:val="center"/>
        </w:trPr>
        <w:tc>
          <w:tcPr>
            <w:tcW w:w="601" w:type="dxa"/>
            <w:vAlign w:val="center"/>
          </w:tcPr>
          <w:p>
            <w:pPr>
              <w:adjustRightInd w:val="0"/>
              <w:spacing w:after="60" w:line="360" w:lineRule="auto"/>
              <w:ind w:left="63" w:leftChars="30" w:right="63" w:rightChars="30"/>
              <w:jc w:val="center"/>
              <w:textAlignment w:val="baseline"/>
              <w:rPr>
                <w:rFonts w:ascii="宋体" w:hAnsi="宋体" w:cs="仿宋"/>
                <w:szCs w:val="22"/>
              </w:rPr>
            </w:pPr>
          </w:p>
        </w:tc>
        <w:tc>
          <w:tcPr>
            <w:tcW w:w="1561" w:type="dxa"/>
            <w:vAlign w:val="center"/>
          </w:tcPr>
          <w:p>
            <w:pPr>
              <w:adjustRightInd w:val="0"/>
              <w:spacing w:after="60" w:line="360" w:lineRule="auto"/>
              <w:ind w:left="63" w:leftChars="30" w:right="63" w:rightChars="30"/>
              <w:jc w:val="center"/>
              <w:textAlignment w:val="baseline"/>
              <w:rPr>
                <w:rFonts w:ascii="宋体" w:hAnsi="宋体" w:cs="仿宋"/>
                <w:szCs w:val="22"/>
              </w:rPr>
            </w:pPr>
          </w:p>
        </w:tc>
        <w:tc>
          <w:tcPr>
            <w:tcW w:w="1208" w:type="dxa"/>
            <w:vAlign w:val="center"/>
          </w:tcPr>
          <w:p>
            <w:pPr>
              <w:adjustRightInd w:val="0"/>
              <w:spacing w:after="60" w:line="360" w:lineRule="auto"/>
              <w:ind w:left="63" w:leftChars="30" w:right="63" w:rightChars="30"/>
              <w:jc w:val="center"/>
              <w:textAlignment w:val="baseline"/>
              <w:rPr>
                <w:rFonts w:ascii="宋体" w:hAnsi="宋体" w:cs="仿宋"/>
                <w:szCs w:val="22"/>
              </w:rPr>
            </w:pPr>
          </w:p>
        </w:tc>
        <w:tc>
          <w:tcPr>
            <w:tcW w:w="1019" w:type="dxa"/>
            <w:vAlign w:val="center"/>
          </w:tcPr>
          <w:p>
            <w:pPr>
              <w:adjustRightInd w:val="0"/>
              <w:spacing w:after="60" w:line="360" w:lineRule="auto"/>
              <w:ind w:left="63" w:leftChars="30" w:right="63" w:rightChars="30"/>
              <w:jc w:val="center"/>
              <w:textAlignment w:val="baseline"/>
              <w:rPr>
                <w:rFonts w:ascii="宋体" w:hAnsi="宋体" w:cs="仿宋"/>
                <w:szCs w:val="22"/>
              </w:rPr>
            </w:pPr>
          </w:p>
        </w:tc>
        <w:tc>
          <w:tcPr>
            <w:tcW w:w="1019" w:type="dxa"/>
            <w:vAlign w:val="center"/>
          </w:tcPr>
          <w:p>
            <w:pPr>
              <w:adjustRightInd w:val="0"/>
              <w:spacing w:after="60" w:line="360" w:lineRule="auto"/>
              <w:ind w:left="63" w:leftChars="30" w:right="63" w:rightChars="30"/>
              <w:jc w:val="center"/>
              <w:textAlignment w:val="baseline"/>
              <w:rPr>
                <w:rFonts w:ascii="宋体" w:hAnsi="宋体" w:cs="仿宋"/>
                <w:szCs w:val="22"/>
              </w:rPr>
            </w:pPr>
          </w:p>
        </w:tc>
        <w:tc>
          <w:tcPr>
            <w:tcW w:w="1123" w:type="dxa"/>
            <w:vAlign w:val="center"/>
          </w:tcPr>
          <w:p>
            <w:pPr>
              <w:adjustRightInd w:val="0"/>
              <w:spacing w:after="60" w:line="360" w:lineRule="auto"/>
              <w:ind w:left="63" w:leftChars="30" w:right="63" w:rightChars="30"/>
              <w:jc w:val="center"/>
              <w:textAlignment w:val="baseline"/>
              <w:rPr>
                <w:rFonts w:ascii="宋体" w:hAnsi="宋体" w:cs="仿宋"/>
                <w:szCs w:val="22"/>
              </w:rPr>
            </w:pPr>
          </w:p>
        </w:tc>
        <w:tc>
          <w:tcPr>
            <w:tcW w:w="1807" w:type="dxa"/>
            <w:vAlign w:val="center"/>
          </w:tcPr>
          <w:p>
            <w:pPr>
              <w:adjustRightInd w:val="0"/>
              <w:spacing w:after="60" w:line="360" w:lineRule="auto"/>
              <w:ind w:left="63" w:leftChars="30" w:right="63" w:rightChars="30"/>
              <w:jc w:val="center"/>
              <w:textAlignment w:val="baseline"/>
              <w:rPr>
                <w:rFonts w:ascii="宋体" w:hAnsi="宋体" w:cs="仿宋"/>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18" w:hRule="atLeast"/>
          <w:jc w:val="center"/>
        </w:trPr>
        <w:tc>
          <w:tcPr>
            <w:tcW w:w="601" w:type="dxa"/>
            <w:vAlign w:val="center"/>
          </w:tcPr>
          <w:p>
            <w:pPr>
              <w:adjustRightInd w:val="0"/>
              <w:spacing w:after="60" w:line="360" w:lineRule="auto"/>
              <w:ind w:left="63" w:leftChars="30" w:right="63" w:rightChars="30"/>
              <w:jc w:val="center"/>
              <w:textAlignment w:val="baseline"/>
              <w:rPr>
                <w:rFonts w:ascii="宋体" w:hAnsi="宋体" w:cs="仿宋"/>
                <w:szCs w:val="22"/>
              </w:rPr>
            </w:pPr>
          </w:p>
        </w:tc>
        <w:tc>
          <w:tcPr>
            <w:tcW w:w="1561" w:type="dxa"/>
            <w:vAlign w:val="center"/>
          </w:tcPr>
          <w:p>
            <w:pPr>
              <w:adjustRightInd w:val="0"/>
              <w:spacing w:after="60" w:line="360" w:lineRule="auto"/>
              <w:ind w:left="63" w:leftChars="30" w:right="63" w:rightChars="30"/>
              <w:jc w:val="center"/>
              <w:textAlignment w:val="baseline"/>
              <w:rPr>
                <w:rFonts w:ascii="宋体" w:hAnsi="宋体" w:cs="仿宋"/>
                <w:szCs w:val="22"/>
              </w:rPr>
            </w:pPr>
          </w:p>
        </w:tc>
        <w:tc>
          <w:tcPr>
            <w:tcW w:w="1208" w:type="dxa"/>
            <w:vAlign w:val="center"/>
          </w:tcPr>
          <w:p>
            <w:pPr>
              <w:adjustRightInd w:val="0"/>
              <w:spacing w:after="60" w:line="360" w:lineRule="auto"/>
              <w:ind w:left="63" w:leftChars="30" w:right="63" w:rightChars="30"/>
              <w:jc w:val="center"/>
              <w:textAlignment w:val="baseline"/>
              <w:rPr>
                <w:rFonts w:ascii="宋体" w:hAnsi="宋体" w:cs="仿宋"/>
                <w:szCs w:val="22"/>
              </w:rPr>
            </w:pPr>
          </w:p>
        </w:tc>
        <w:tc>
          <w:tcPr>
            <w:tcW w:w="1019" w:type="dxa"/>
            <w:vAlign w:val="center"/>
          </w:tcPr>
          <w:p>
            <w:pPr>
              <w:adjustRightInd w:val="0"/>
              <w:spacing w:after="60" w:line="360" w:lineRule="auto"/>
              <w:ind w:left="63" w:leftChars="30" w:right="63" w:rightChars="30"/>
              <w:jc w:val="center"/>
              <w:textAlignment w:val="baseline"/>
              <w:rPr>
                <w:rFonts w:ascii="宋体" w:hAnsi="宋体" w:cs="仿宋"/>
                <w:szCs w:val="22"/>
              </w:rPr>
            </w:pPr>
          </w:p>
        </w:tc>
        <w:tc>
          <w:tcPr>
            <w:tcW w:w="1019" w:type="dxa"/>
            <w:vAlign w:val="center"/>
          </w:tcPr>
          <w:p>
            <w:pPr>
              <w:adjustRightInd w:val="0"/>
              <w:spacing w:after="60" w:line="360" w:lineRule="auto"/>
              <w:ind w:left="63" w:leftChars="30" w:right="63" w:rightChars="30"/>
              <w:jc w:val="center"/>
              <w:textAlignment w:val="baseline"/>
              <w:rPr>
                <w:rFonts w:ascii="宋体" w:hAnsi="宋体" w:cs="仿宋"/>
                <w:szCs w:val="22"/>
              </w:rPr>
            </w:pPr>
          </w:p>
        </w:tc>
        <w:tc>
          <w:tcPr>
            <w:tcW w:w="1123" w:type="dxa"/>
            <w:vAlign w:val="center"/>
          </w:tcPr>
          <w:p>
            <w:pPr>
              <w:adjustRightInd w:val="0"/>
              <w:spacing w:after="60" w:line="360" w:lineRule="auto"/>
              <w:ind w:left="63" w:leftChars="30" w:right="63" w:rightChars="30"/>
              <w:jc w:val="center"/>
              <w:textAlignment w:val="baseline"/>
              <w:rPr>
                <w:rFonts w:ascii="宋体" w:hAnsi="宋体" w:cs="仿宋"/>
                <w:szCs w:val="22"/>
              </w:rPr>
            </w:pPr>
          </w:p>
        </w:tc>
        <w:tc>
          <w:tcPr>
            <w:tcW w:w="1807" w:type="dxa"/>
            <w:vAlign w:val="center"/>
          </w:tcPr>
          <w:p>
            <w:pPr>
              <w:adjustRightInd w:val="0"/>
              <w:spacing w:after="60" w:line="360" w:lineRule="auto"/>
              <w:ind w:left="63" w:leftChars="30" w:right="63" w:rightChars="30"/>
              <w:jc w:val="center"/>
              <w:textAlignment w:val="baseline"/>
              <w:rPr>
                <w:rFonts w:ascii="宋体" w:hAnsi="宋体" w:cs="仿宋"/>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18" w:hRule="atLeast"/>
          <w:jc w:val="center"/>
        </w:trPr>
        <w:tc>
          <w:tcPr>
            <w:tcW w:w="601" w:type="dxa"/>
            <w:vAlign w:val="center"/>
          </w:tcPr>
          <w:p>
            <w:pPr>
              <w:adjustRightInd w:val="0"/>
              <w:spacing w:after="60" w:line="360" w:lineRule="auto"/>
              <w:ind w:left="63" w:leftChars="30" w:right="63" w:rightChars="30"/>
              <w:jc w:val="center"/>
              <w:textAlignment w:val="baseline"/>
              <w:rPr>
                <w:rFonts w:ascii="宋体" w:hAnsi="宋体" w:cs="仿宋"/>
                <w:szCs w:val="22"/>
              </w:rPr>
            </w:pPr>
          </w:p>
        </w:tc>
        <w:tc>
          <w:tcPr>
            <w:tcW w:w="1561" w:type="dxa"/>
            <w:vAlign w:val="center"/>
          </w:tcPr>
          <w:p>
            <w:pPr>
              <w:adjustRightInd w:val="0"/>
              <w:spacing w:after="60" w:line="360" w:lineRule="auto"/>
              <w:ind w:left="63" w:leftChars="30" w:right="63" w:rightChars="30"/>
              <w:jc w:val="center"/>
              <w:textAlignment w:val="baseline"/>
              <w:rPr>
                <w:rFonts w:ascii="宋体" w:hAnsi="宋体" w:cs="仿宋"/>
                <w:szCs w:val="22"/>
              </w:rPr>
            </w:pPr>
          </w:p>
        </w:tc>
        <w:tc>
          <w:tcPr>
            <w:tcW w:w="1208" w:type="dxa"/>
            <w:vAlign w:val="center"/>
          </w:tcPr>
          <w:p>
            <w:pPr>
              <w:adjustRightInd w:val="0"/>
              <w:spacing w:after="60" w:line="360" w:lineRule="auto"/>
              <w:ind w:left="63" w:leftChars="30" w:right="63" w:rightChars="30"/>
              <w:jc w:val="center"/>
              <w:textAlignment w:val="baseline"/>
              <w:rPr>
                <w:rFonts w:ascii="宋体" w:hAnsi="宋体" w:cs="仿宋"/>
                <w:szCs w:val="22"/>
              </w:rPr>
            </w:pPr>
          </w:p>
        </w:tc>
        <w:tc>
          <w:tcPr>
            <w:tcW w:w="1019" w:type="dxa"/>
            <w:vAlign w:val="center"/>
          </w:tcPr>
          <w:p>
            <w:pPr>
              <w:adjustRightInd w:val="0"/>
              <w:spacing w:after="60" w:line="360" w:lineRule="auto"/>
              <w:ind w:left="63" w:leftChars="30" w:right="63" w:rightChars="30"/>
              <w:jc w:val="center"/>
              <w:textAlignment w:val="baseline"/>
              <w:rPr>
                <w:rFonts w:ascii="宋体" w:hAnsi="宋体" w:cs="仿宋"/>
                <w:szCs w:val="22"/>
              </w:rPr>
            </w:pPr>
          </w:p>
        </w:tc>
        <w:tc>
          <w:tcPr>
            <w:tcW w:w="1019" w:type="dxa"/>
            <w:vAlign w:val="center"/>
          </w:tcPr>
          <w:p>
            <w:pPr>
              <w:adjustRightInd w:val="0"/>
              <w:spacing w:after="60" w:line="360" w:lineRule="auto"/>
              <w:ind w:left="63" w:leftChars="30" w:right="63" w:rightChars="30"/>
              <w:jc w:val="center"/>
              <w:textAlignment w:val="baseline"/>
              <w:rPr>
                <w:rFonts w:ascii="宋体" w:hAnsi="宋体" w:cs="仿宋"/>
                <w:szCs w:val="22"/>
              </w:rPr>
            </w:pPr>
          </w:p>
        </w:tc>
        <w:tc>
          <w:tcPr>
            <w:tcW w:w="1123" w:type="dxa"/>
            <w:vAlign w:val="center"/>
          </w:tcPr>
          <w:p>
            <w:pPr>
              <w:adjustRightInd w:val="0"/>
              <w:spacing w:after="60" w:line="360" w:lineRule="auto"/>
              <w:ind w:left="63" w:leftChars="30" w:right="63" w:rightChars="30"/>
              <w:jc w:val="center"/>
              <w:textAlignment w:val="baseline"/>
              <w:rPr>
                <w:rFonts w:ascii="宋体" w:hAnsi="宋体" w:cs="仿宋"/>
                <w:szCs w:val="22"/>
              </w:rPr>
            </w:pPr>
          </w:p>
        </w:tc>
        <w:tc>
          <w:tcPr>
            <w:tcW w:w="1807" w:type="dxa"/>
            <w:vAlign w:val="center"/>
          </w:tcPr>
          <w:p>
            <w:pPr>
              <w:adjustRightInd w:val="0"/>
              <w:spacing w:after="60" w:line="360" w:lineRule="auto"/>
              <w:ind w:left="63" w:leftChars="30" w:right="63" w:rightChars="30"/>
              <w:jc w:val="center"/>
              <w:textAlignment w:val="baseline"/>
              <w:rPr>
                <w:rFonts w:ascii="宋体" w:hAnsi="宋体" w:cs="仿宋"/>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18" w:hRule="atLeast"/>
          <w:jc w:val="center"/>
        </w:trPr>
        <w:tc>
          <w:tcPr>
            <w:tcW w:w="601" w:type="dxa"/>
            <w:vAlign w:val="center"/>
          </w:tcPr>
          <w:p>
            <w:pPr>
              <w:adjustRightInd w:val="0"/>
              <w:spacing w:after="60" w:line="360" w:lineRule="auto"/>
              <w:ind w:left="63" w:leftChars="30" w:right="63" w:rightChars="30"/>
              <w:jc w:val="center"/>
              <w:textAlignment w:val="baseline"/>
              <w:rPr>
                <w:rFonts w:ascii="宋体" w:hAnsi="宋体" w:cs="仿宋"/>
                <w:szCs w:val="22"/>
              </w:rPr>
            </w:pPr>
          </w:p>
        </w:tc>
        <w:tc>
          <w:tcPr>
            <w:tcW w:w="1561" w:type="dxa"/>
            <w:vAlign w:val="center"/>
          </w:tcPr>
          <w:p>
            <w:pPr>
              <w:adjustRightInd w:val="0"/>
              <w:spacing w:after="60" w:line="360" w:lineRule="auto"/>
              <w:ind w:left="63" w:leftChars="30" w:right="63" w:rightChars="30"/>
              <w:jc w:val="center"/>
              <w:textAlignment w:val="baseline"/>
              <w:rPr>
                <w:rFonts w:ascii="宋体" w:hAnsi="宋体" w:cs="仿宋"/>
                <w:szCs w:val="22"/>
              </w:rPr>
            </w:pPr>
          </w:p>
        </w:tc>
        <w:tc>
          <w:tcPr>
            <w:tcW w:w="1208" w:type="dxa"/>
            <w:vAlign w:val="center"/>
          </w:tcPr>
          <w:p>
            <w:pPr>
              <w:adjustRightInd w:val="0"/>
              <w:spacing w:after="60" w:line="360" w:lineRule="auto"/>
              <w:ind w:left="63" w:leftChars="30" w:right="63" w:rightChars="30"/>
              <w:jc w:val="center"/>
              <w:textAlignment w:val="baseline"/>
              <w:rPr>
                <w:rFonts w:ascii="宋体" w:hAnsi="宋体" w:cs="仿宋"/>
                <w:szCs w:val="22"/>
              </w:rPr>
            </w:pPr>
          </w:p>
        </w:tc>
        <w:tc>
          <w:tcPr>
            <w:tcW w:w="1019" w:type="dxa"/>
            <w:vAlign w:val="center"/>
          </w:tcPr>
          <w:p>
            <w:pPr>
              <w:adjustRightInd w:val="0"/>
              <w:spacing w:after="60" w:line="360" w:lineRule="auto"/>
              <w:ind w:left="63" w:leftChars="30" w:right="63" w:rightChars="30"/>
              <w:jc w:val="center"/>
              <w:textAlignment w:val="baseline"/>
              <w:rPr>
                <w:rFonts w:ascii="宋体" w:hAnsi="宋体" w:cs="仿宋"/>
                <w:szCs w:val="22"/>
              </w:rPr>
            </w:pPr>
          </w:p>
        </w:tc>
        <w:tc>
          <w:tcPr>
            <w:tcW w:w="1019" w:type="dxa"/>
            <w:vAlign w:val="center"/>
          </w:tcPr>
          <w:p>
            <w:pPr>
              <w:adjustRightInd w:val="0"/>
              <w:spacing w:after="60" w:line="360" w:lineRule="auto"/>
              <w:ind w:left="63" w:leftChars="30" w:right="63" w:rightChars="30"/>
              <w:jc w:val="center"/>
              <w:textAlignment w:val="baseline"/>
              <w:rPr>
                <w:rFonts w:ascii="宋体" w:hAnsi="宋体" w:cs="仿宋"/>
                <w:szCs w:val="22"/>
              </w:rPr>
            </w:pPr>
          </w:p>
        </w:tc>
        <w:tc>
          <w:tcPr>
            <w:tcW w:w="1123" w:type="dxa"/>
            <w:vAlign w:val="center"/>
          </w:tcPr>
          <w:p>
            <w:pPr>
              <w:adjustRightInd w:val="0"/>
              <w:spacing w:after="60" w:line="360" w:lineRule="auto"/>
              <w:ind w:left="63" w:leftChars="30" w:right="63" w:rightChars="30"/>
              <w:jc w:val="center"/>
              <w:textAlignment w:val="baseline"/>
              <w:rPr>
                <w:rFonts w:ascii="宋体" w:hAnsi="宋体" w:cs="仿宋"/>
                <w:szCs w:val="22"/>
              </w:rPr>
            </w:pPr>
          </w:p>
        </w:tc>
        <w:tc>
          <w:tcPr>
            <w:tcW w:w="1807" w:type="dxa"/>
            <w:vAlign w:val="center"/>
          </w:tcPr>
          <w:p>
            <w:pPr>
              <w:adjustRightInd w:val="0"/>
              <w:spacing w:after="60" w:line="360" w:lineRule="auto"/>
              <w:ind w:left="63" w:leftChars="30" w:right="63" w:rightChars="30"/>
              <w:jc w:val="center"/>
              <w:textAlignment w:val="baseline"/>
              <w:rPr>
                <w:rFonts w:ascii="宋体" w:hAnsi="宋体" w:cs="仿宋"/>
                <w:szCs w:val="22"/>
              </w:rPr>
            </w:pPr>
          </w:p>
        </w:tc>
      </w:tr>
    </w:tbl>
    <w:p>
      <w:pPr>
        <w:spacing w:line="360" w:lineRule="auto"/>
        <w:ind w:firstLine="420" w:firstLineChars="200"/>
        <w:rPr>
          <w:rFonts w:ascii="宋体" w:hAnsi="宋体"/>
        </w:rPr>
      </w:pPr>
    </w:p>
    <w:p>
      <w:pPr>
        <w:spacing w:line="500" w:lineRule="exact"/>
        <w:rPr>
          <w:rFonts w:ascii="宋体" w:hAnsi="宋体"/>
          <w:sz w:val="24"/>
          <w:szCs w:val="28"/>
        </w:rPr>
      </w:pPr>
      <w:r>
        <w:rPr>
          <w:rFonts w:hint="eastAsia" w:ascii="宋体" w:hAnsi="宋体"/>
          <w:sz w:val="24"/>
          <w:szCs w:val="28"/>
        </w:rPr>
        <w:t xml:space="preserve">投标人(盖公章)：                          </w:t>
      </w:r>
    </w:p>
    <w:p>
      <w:pPr>
        <w:spacing w:line="500" w:lineRule="exact"/>
        <w:rPr>
          <w:rFonts w:ascii="宋体" w:hAnsi="宋体"/>
          <w:sz w:val="24"/>
          <w:szCs w:val="28"/>
        </w:rPr>
      </w:pPr>
      <w:r>
        <w:rPr>
          <w:rFonts w:hint="eastAsia" w:ascii="宋体" w:hAnsi="宋体"/>
          <w:sz w:val="24"/>
          <w:szCs w:val="28"/>
        </w:rPr>
        <w:t xml:space="preserve">法定代表人或其授权代表（签字或盖章）：                                       </w:t>
      </w:r>
    </w:p>
    <w:p>
      <w:pPr>
        <w:spacing w:line="500" w:lineRule="exact"/>
        <w:rPr>
          <w:b/>
          <w:sz w:val="32"/>
        </w:rPr>
      </w:pPr>
      <w:r>
        <w:rPr>
          <w:rFonts w:hint="eastAsia" w:ascii="宋体" w:hAnsi="宋体"/>
          <w:sz w:val="24"/>
          <w:szCs w:val="28"/>
        </w:rPr>
        <w:t>日期：        年       月       日</w:t>
      </w:r>
    </w:p>
    <w:p>
      <w:pPr>
        <w:spacing w:line="360" w:lineRule="auto"/>
        <w:ind w:firstLine="420" w:firstLineChars="200"/>
        <w:rPr>
          <w:rFonts w:ascii="宋体" w:hAnsi="宋体"/>
        </w:rPr>
      </w:pPr>
    </w:p>
    <w:p>
      <w:pPr>
        <w:spacing w:line="360" w:lineRule="auto"/>
        <w:jc w:val="left"/>
        <w:outlineLvl w:val="2"/>
        <w:rPr>
          <w:rFonts w:ascii="宋体" w:hAnsi="宋体"/>
        </w:rPr>
      </w:pPr>
      <w:r>
        <w:rPr>
          <w:rFonts w:hint="eastAsia" w:ascii="宋体" w:hAnsi="宋体"/>
        </w:rPr>
        <w:t>注：投标人应对照招标文件技术规格，逐条对照所提供货物和服务是否做出了实质性的响应，若有与技术规格条文存在正负偏差的请逐条列出，若有负偏离将会影响是否为有效投标。</w:t>
      </w:r>
    </w:p>
    <w:p>
      <w:pPr>
        <w:adjustRightInd w:val="0"/>
        <w:spacing w:line="360" w:lineRule="auto"/>
        <w:ind w:firstLine="601"/>
        <w:jc w:val="left"/>
        <w:rPr>
          <w:b/>
          <w:kern w:val="0"/>
          <w:sz w:val="32"/>
          <w:szCs w:val="20"/>
        </w:rPr>
      </w:pPr>
    </w:p>
    <w:p>
      <w:pPr>
        <w:adjustRightInd w:val="0"/>
        <w:spacing w:line="360" w:lineRule="auto"/>
        <w:ind w:firstLine="601"/>
        <w:jc w:val="left"/>
        <w:rPr>
          <w:b/>
          <w:kern w:val="0"/>
          <w:sz w:val="32"/>
          <w:szCs w:val="20"/>
        </w:rPr>
      </w:pPr>
    </w:p>
    <w:p>
      <w:pPr>
        <w:adjustRightInd w:val="0"/>
        <w:spacing w:line="360" w:lineRule="auto"/>
        <w:ind w:firstLine="601"/>
        <w:jc w:val="left"/>
        <w:rPr>
          <w:b/>
          <w:kern w:val="0"/>
          <w:sz w:val="32"/>
          <w:szCs w:val="20"/>
        </w:rPr>
      </w:pPr>
    </w:p>
    <w:p>
      <w:pPr>
        <w:spacing w:line="500" w:lineRule="exact"/>
        <w:jc w:val="center"/>
        <w:rPr>
          <w:b/>
          <w:sz w:val="32"/>
        </w:rPr>
      </w:pPr>
      <w:bookmarkStart w:id="589" w:name="_Hlk60573609"/>
      <w:r>
        <w:rPr>
          <w:rFonts w:hint="eastAsia"/>
          <w:b/>
          <w:sz w:val="32"/>
        </w:rPr>
        <w:t>二、承 诺 书</w:t>
      </w:r>
    </w:p>
    <w:bookmarkEnd w:id="589"/>
    <w:p>
      <w:pPr>
        <w:spacing w:line="600" w:lineRule="exact"/>
        <w:rPr>
          <w:rFonts w:ascii="宋体"/>
          <w:sz w:val="24"/>
          <w:szCs w:val="28"/>
          <w:u w:val="single"/>
        </w:rPr>
      </w:pPr>
      <w:r>
        <w:rPr>
          <w:rFonts w:hint="eastAsia" w:ascii="宋体" w:hAnsi="宋体"/>
          <w:sz w:val="24"/>
          <w:szCs w:val="28"/>
          <w:u w:val="single"/>
        </w:rPr>
        <w:t>（招标人名称）：</w:t>
      </w:r>
    </w:p>
    <w:p>
      <w:pPr>
        <w:widowControl/>
        <w:spacing w:line="520" w:lineRule="exact"/>
        <w:ind w:firstLine="480" w:firstLineChars="200"/>
        <w:jc w:val="left"/>
        <w:rPr>
          <w:rFonts w:ascii="宋体"/>
          <w:sz w:val="24"/>
        </w:rPr>
      </w:pPr>
      <w:r>
        <w:rPr>
          <w:rFonts w:hint="eastAsia" w:ascii="宋体" w:hAnsi="宋体"/>
          <w:sz w:val="24"/>
        </w:rPr>
        <w:t>我方参加你方的</w:t>
      </w:r>
      <w:r>
        <w:rPr>
          <w:rFonts w:ascii="宋体" w:hAnsi="宋体"/>
          <w:sz w:val="24"/>
          <w:u w:val="single"/>
        </w:rPr>
        <w:t xml:space="preserve">  </w:t>
      </w:r>
      <w:r>
        <w:rPr>
          <w:rFonts w:hint="eastAsia" w:ascii="宋体" w:hAnsi="宋体"/>
          <w:sz w:val="24"/>
          <w:u w:val="single"/>
        </w:rPr>
        <w:t>（工程名称）</w:t>
      </w:r>
      <w:r>
        <w:rPr>
          <w:rFonts w:ascii="宋体" w:hAnsi="宋体"/>
          <w:sz w:val="24"/>
          <w:u w:val="single"/>
        </w:rPr>
        <w:t xml:space="preserve">  </w:t>
      </w:r>
      <w:r>
        <w:rPr>
          <w:rFonts w:hint="eastAsia" w:ascii="宋体" w:hAnsi="宋体"/>
          <w:sz w:val="24"/>
          <w:szCs w:val="28"/>
        </w:rPr>
        <w:t>（以下简称</w:t>
      </w:r>
      <w:r>
        <w:rPr>
          <w:rFonts w:hint="eastAsia" w:ascii="宋体"/>
          <w:sz w:val="24"/>
          <w:szCs w:val="28"/>
        </w:rPr>
        <w:t>“</w:t>
      </w:r>
      <w:r>
        <w:rPr>
          <w:rFonts w:hint="eastAsia" w:ascii="宋体" w:hAnsi="宋体"/>
          <w:sz w:val="24"/>
          <w:szCs w:val="28"/>
        </w:rPr>
        <w:t>本工程</w:t>
      </w:r>
      <w:r>
        <w:rPr>
          <w:rFonts w:hint="eastAsia" w:ascii="宋体"/>
          <w:sz w:val="24"/>
          <w:szCs w:val="28"/>
        </w:rPr>
        <w:t>”</w:t>
      </w:r>
      <w:r>
        <w:rPr>
          <w:rFonts w:hint="eastAsia" w:ascii="宋体" w:hAnsi="宋体"/>
          <w:sz w:val="24"/>
          <w:szCs w:val="28"/>
        </w:rPr>
        <w:t>）投标</w:t>
      </w:r>
      <w:r>
        <w:rPr>
          <w:rFonts w:hint="eastAsia" w:ascii="宋体" w:hAnsi="宋体"/>
          <w:sz w:val="24"/>
        </w:rPr>
        <w:t>，如我方中标，向你方慎重承诺：</w:t>
      </w:r>
    </w:p>
    <w:p>
      <w:pPr>
        <w:widowControl/>
        <w:spacing w:line="600" w:lineRule="exact"/>
        <w:ind w:firstLine="480" w:firstLineChars="200"/>
        <w:jc w:val="left"/>
        <w:rPr>
          <w:rFonts w:ascii="宋体" w:hAnsi="宋体"/>
          <w:sz w:val="24"/>
        </w:rPr>
      </w:pPr>
      <w:r>
        <w:rPr>
          <w:rFonts w:hint="eastAsia" w:ascii="宋体" w:hAnsi="宋体"/>
          <w:sz w:val="24"/>
        </w:rPr>
        <w:t>1、所投产品完全满足招标文件第五章“项目需求”，并按要求提供图纸及资料等。</w:t>
      </w:r>
    </w:p>
    <w:p>
      <w:pPr>
        <w:widowControl/>
        <w:spacing w:line="600" w:lineRule="exact"/>
        <w:ind w:firstLine="480" w:firstLineChars="200"/>
        <w:jc w:val="left"/>
        <w:rPr>
          <w:rFonts w:ascii="宋体" w:hAnsi="宋体"/>
          <w:sz w:val="24"/>
        </w:rPr>
      </w:pPr>
      <w:r>
        <w:rPr>
          <w:rFonts w:hint="eastAsia" w:ascii="宋体" w:hAnsi="宋体"/>
          <w:sz w:val="24"/>
        </w:rPr>
        <w:t>2、保证所有产品具备专业机构或部门出具的相关检验报告，并在评标结束后五个工作日内，向招标人提供技术参数中要求的检测报告及其他佐证材料，未按要求提供或弄虚作假，招标人有权取消我方中标资格，招标人可以从合格的中标候选人中另行确定中标人或重新开展招标活动。我方交付产品时必须提供原厂质保函。</w:t>
      </w:r>
    </w:p>
    <w:p>
      <w:pPr>
        <w:widowControl/>
        <w:spacing w:line="600" w:lineRule="exact"/>
        <w:ind w:firstLine="480" w:firstLineChars="200"/>
        <w:jc w:val="left"/>
        <w:rPr>
          <w:rFonts w:ascii="宋体" w:hAnsi="宋体"/>
          <w:sz w:val="24"/>
        </w:rPr>
      </w:pPr>
      <w:r>
        <w:rPr>
          <w:rFonts w:hint="eastAsia" w:ascii="宋体" w:hAnsi="宋体"/>
          <w:sz w:val="24"/>
        </w:rPr>
        <w:t>如违反上述承诺，愿意接受任何处罚，包括同意你方取消我方中标资格并不予退还投标保证金或履约保证金，将我方列入黑名单，并上报建设主管部门，我方主动放弃今后二十四个月内参与你方投标或竞价的资格。</w:t>
      </w:r>
    </w:p>
    <w:p>
      <w:pPr>
        <w:spacing w:line="600" w:lineRule="exact"/>
        <w:rPr>
          <w:rFonts w:ascii="宋体"/>
          <w:sz w:val="24"/>
          <w:szCs w:val="28"/>
        </w:rPr>
      </w:pPr>
    </w:p>
    <w:p>
      <w:pPr>
        <w:spacing w:line="600" w:lineRule="exact"/>
        <w:rPr>
          <w:rFonts w:ascii="宋体"/>
          <w:sz w:val="24"/>
          <w:szCs w:val="28"/>
        </w:rPr>
      </w:pPr>
    </w:p>
    <w:p>
      <w:pPr>
        <w:spacing w:line="480" w:lineRule="auto"/>
        <w:ind w:right="-512" w:rightChars="-244"/>
        <w:rPr>
          <w:rFonts w:ascii="宋体"/>
          <w:sz w:val="24"/>
          <w:szCs w:val="28"/>
        </w:rPr>
      </w:pPr>
      <w:r>
        <w:rPr>
          <w:rFonts w:hint="eastAsia" w:ascii="宋体" w:hAnsi="宋体"/>
          <w:sz w:val="24"/>
          <w:szCs w:val="28"/>
        </w:rPr>
        <w:t>投标人（盖单位章）：</w:t>
      </w:r>
      <w:r>
        <w:rPr>
          <w:rFonts w:ascii="宋体" w:hAnsi="宋体"/>
          <w:sz w:val="24"/>
          <w:szCs w:val="28"/>
          <w:u w:val="single"/>
        </w:rPr>
        <w:t xml:space="preserve">                 </w:t>
      </w:r>
      <w:r>
        <w:rPr>
          <w:rFonts w:ascii="宋体" w:hAnsi="宋体"/>
          <w:sz w:val="24"/>
          <w:szCs w:val="28"/>
        </w:rPr>
        <w:t xml:space="preserve"> </w:t>
      </w:r>
    </w:p>
    <w:p>
      <w:pPr>
        <w:tabs>
          <w:tab w:val="left" w:pos="4320"/>
        </w:tabs>
        <w:spacing w:line="480" w:lineRule="auto"/>
        <w:ind w:right="-512" w:rightChars="-244"/>
        <w:rPr>
          <w:rFonts w:ascii="宋体"/>
          <w:sz w:val="24"/>
          <w:szCs w:val="28"/>
        </w:rPr>
      </w:pPr>
      <w:r>
        <w:rPr>
          <w:rFonts w:hint="eastAsia" w:ascii="宋体" w:hAnsi="宋体"/>
          <w:sz w:val="24"/>
          <w:szCs w:val="28"/>
        </w:rPr>
        <w:t>法定代表人（签字或盖章）：</w:t>
      </w:r>
      <w:r>
        <w:rPr>
          <w:rFonts w:ascii="宋体" w:hAnsi="宋体"/>
          <w:sz w:val="24"/>
          <w:szCs w:val="28"/>
          <w:u w:val="single"/>
        </w:rPr>
        <w:t xml:space="preserve">               </w:t>
      </w:r>
      <w:r>
        <w:rPr>
          <w:rFonts w:ascii="宋体" w:hAnsi="宋体"/>
          <w:sz w:val="24"/>
          <w:szCs w:val="28"/>
        </w:rPr>
        <w:t xml:space="preserve"> </w:t>
      </w:r>
    </w:p>
    <w:p>
      <w:pPr>
        <w:rPr>
          <w:b/>
          <w:sz w:val="32"/>
        </w:rPr>
      </w:pPr>
      <w:r>
        <w:rPr>
          <w:rFonts w:ascii="宋体" w:hAnsi="宋体"/>
          <w:sz w:val="24"/>
          <w:szCs w:val="28"/>
        </w:rPr>
        <w:t>日</w:t>
      </w:r>
      <w:r>
        <w:rPr>
          <w:rFonts w:hint="eastAsia" w:ascii="宋体" w:hAnsi="宋体"/>
          <w:sz w:val="24"/>
          <w:szCs w:val="28"/>
        </w:rPr>
        <w:t xml:space="preserve">     </w:t>
      </w:r>
      <w:r>
        <w:rPr>
          <w:rFonts w:ascii="宋体" w:hAnsi="宋体"/>
          <w:sz w:val="24"/>
          <w:szCs w:val="28"/>
        </w:rPr>
        <w:t>期：</w:t>
      </w:r>
      <w:r>
        <w:rPr>
          <w:rFonts w:ascii="宋体" w:hAnsi="宋体"/>
          <w:sz w:val="24"/>
          <w:szCs w:val="28"/>
          <w:u w:val="single"/>
        </w:rPr>
        <w:t xml:space="preserve">          </w:t>
      </w:r>
      <w:r>
        <w:rPr>
          <w:rFonts w:hint="eastAsia" w:ascii="宋体" w:hAnsi="宋体"/>
          <w:sz w:val="24"/>
          <w:szCs w:val="28"/>
        </w:rPr>
        <w:t>年</w:t>
      </w:r>
      <w:r>
        <w:rPr>
          <w:rFonts w:ascii="宋体" w:hAnsi="宋体"/>
          <w:sz w:val="24"/>
          <w:szCs w:val="28"/>
          <w:u w:val="single"/>
        </w:rPr>
        <w:t xml:space="preserve">      </w:t>
      </w:r>
      <w:r>
        <w:rPr>
          <w:rFonts w:hint="eastAsia" w:ascii="宋体" w:hAnsi="宋体"/>
          <w:sz w:val="24"/>
          <w:szCs w:val="28"/>
        </w:rPr>
        <w:t>月</w:t>
      </w:r>
      <w:r>
        <w:rPr>
          <w:rFonts w:ascii="宋体" w:hAnsi="宋体"/>
          <w:sz w:val="24"/>
          <w:szCs w:val="28"/>
          <w:u w:val="single"/>
        </w:rPr>
        <w:t xml:space="preserve">     </w:t>
      </w:r>
      <w:r>
        <w:rPr>
          <w:rFonts w:hint="eastAsia" w:ascii="宋体" w:hAnsi="宋体"/>
          <w:sz w:val="24"/>
          <w:szCs w:val="28"/>
        </w:rPr>
        <w:t>日</w:t>
      </w:r>
    </w:p>
    <w:p>
      <w:pPr>
        <w:adjustRightInd w:val="0"/>
        <w:spacing w:line="360" w:lineRule="auto"/>
        <w:ind w:firstLine="601"/>
        <w:jc w:val="left"/>
        <w:rPr>
          <w:b/>
          <w:kern w:val="0"/>
          <w:sz w:val="32"/>
          <w:szCs w:val="20"/>
        </w:rPr>
      </w:pPr>
    </w:p>
    <w:p>
      <w:pPr>
        <w:adjustRightInd w:val="0"/>
        <w:spacing w:line="360" w:lineRule="auto"/>
        <w:ind w:firstLine="601"/>
        <w:jc w:val="left"/>
        <w:rPr>
          <w:b/>
          <w:kern w:val="0"/>
          <w:sz w:val="32"/>
          <w:szCs w:val="20"/>
        </w:rPr>
      </w:pPr>
    </w:p>
    <w:p>
      <w:pPr>
        <w:adjustRightInd w:val="0"/>
        <w:spacing w:line="360" w:lineRule="auto"/>
        <w:ind w:firstLine="601"/>
        <w:jc w:val="left"/>
        <w:rPr>
          <w:b/>
          <w:kern w:val="0"/>
          <w:sz w:val="32"/>
          <w:szCs w:val="20"/>
        </w:rPr>
      </w:pPr>
    </w:p>
    <w:p>
      <w:pPr>
        <w:adjustRightInd w:val="0"/>
        <w:spacing w:line="360" w:lineRule="auto"/>
        <w:ind w:firstLine="601"/>
        <w:jc w:val="left"/>
        <w:rPr>
          <w:b/>
          <w:kern w:val="0"/>
          <w:sz w:val="32"/>
          <w:szCs w:val="20"/>
        </w:rPr>
      </w:pPr>
    </w:p>
    <w:p>
      <w:pPr>
        <w:adjustRightInd w:val="0"/>
        <w:spacing w:line="360" w:lineRule="auto"/>
        <w:ind w:firstLine="601"/>
        <w:jc w:val="left"/>
        <w:rPr>
          <w:b/>
          <w:kern w:val="0"/>
          <w:sz w:val="32"/>
          <w:szCs w:val="20"/>
        </w:rPr>
      </w:pPr>
    </w:p>
    <w:p>
      <w:pPr>
        <w:adjustRightInd w:val="0"/>
        <w:spacing w:line="360" w:lineRule="auto"/>
        <w:ind w:firstLine="601"/>
        <w:jc w:val="left"/>
        <w:rPr>
          <w:b/>
          <w:kern w:val="0"/>
          <w:sz w:val="32"/>
          <w:szCs w:val="20"/>
        </w:rPr>
      </w:pPr>
      <w:r>
        <w:rPr>
          <w:rFonts w:hint="eastAsia"/>
          <w:b/>
          <w:kern w:val="0"/>
          <w:sz w:val="32"/>
          <w:szCs w:val="20"/>
        </w:rPr>
        <w:t>C、投标报价格式</w:t>
      </w:r>
    </w:p>
    <w:p>
      <w:pPr>
        <w:adjustRightInd w:val="0"/>
        <w:snapToGrid w:val="0"/>
        <w:spacing w:line="480" w:lineRule="auto"/>
        <w:ind w:firstLine="198" w:firstLineChars="62"/>
        <w:jc w:val="center"/>
        <w:rPr>
          <w:rFonts w:hAnsi="Arial" w:eastAsia="黑体" w:cs="Arial"/>
          <w:sz w:val="32"/>
          <w:szCs w:val="22"/>
        </w:rPr>
      </w:pPr>
      <w:r>
        <w:rPr>
          <w:rFonts w:hint="eastAsia" w:hAnsi="Arial" w:eastAsia="黑体" w:cs="Arial"/>
          <w:sz w:val="32"/>
          <w:szCs w:val="22"/>
        </w:rPr>
        <w:t>一、投标函</w:t>
      </w:r>
      <w:bookmarkEnd w:id="577"/>
      <w:bookmarkEnd w:id="578"/>
      <w:bookmarkEnd w:id="579"/>
      <w:bookmarkEnd w:id="580"/>
      <w:bookmarkEnd w:id="581"/>
      <w:bookmarkEnd w:id="582"/>
      <w:bookmarkEnd w:id="583"/>
      <w:bookmarkEnd w:id="584"/>
      <w:bookmarkEnd w:id="585"/>
      <w:bookmarkEnd w:id="586"/>
      <w:bookmarkEnd w:id="587"/>
      <w:bookmarkEnd w:id="588"/>
    </w:p>
    <w:p>
      <w:pPr>
        <w:spacing w:line="360" w:lineRule="auto"/>
        <w:rPr>
          <w:rFonts w:ascii="宋体" w:hAnsi="宋体" w:cs="宋体"/>
          <w:szCs w:val="21"/>
        </w:rPr>
      </w:pPr>
      <w:r>
        <w:rPr>
          <w:rFonts w:hint="eastAsia" w:ascii="宋体" w:hAnsi="宋体" w:cs="宋体"/>
          <w:szCs w:val="21"/>
          <w:u w:val="single"/>
        </w:rPr>
        <w:t xml:space="preserve">  </w:t>
      </w:r>
      <w:r>
        <w:rPr>
          <w:rFonts w:hint="eastAsia" w:ascii="宋体" w:hAnsi="宋体" w:cs="宋体"/>
          <w:iCs/>
          <w:szCs w:val="21"/>
          <w:u w:val="single"/>
        </w:rPr>
        <w:t>（招标人）</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420" w:firstLineChars="200"/>
        <w:rPr>
          <w:szCs w:val="21"/>
        </w:rPr>
      </w:pPr>
      <w:r>
        <w:rPr>
          <w:szCs w:val="21"/>
        </w:rPr>
        <w:t>1．我方已仔细研究了</w:t>
      </w:r>
      <w:r>
        <w:rPr>
          <w:szCs w:val="21"/>
          <w:u w:val="single"/>
        </w:rPr>
        <w:t xml:space="preserve">       </w:t>
      </w:r>
      <w:r>
        <w:rPr>
          <w:rFonts w:hint="eastAsia"/>
          <w:szCs w:val="21"/>
          <w:u w:val="single"/>
        </w:rPr>
        <w:t xml:space="preserve">     </w:t>
      </w:r>
      <w:r>
        <w:rPr>
          <w:szCs w:val="21"/>
          <w:u w:val="single"/>
        </w:rPr>
        <w:t xml:space="preserve">   </w:t>
      </w:r>
      <w:r>
        <w:rPr>
          <w:rFonts w:hint="eastAsia" w:ascii="宋体" w:hAnsi="TimesNewRomanPSMT" w:cs="宋体"/>
          <w:kern w:val="0"/>
          <w:szCs w:val="21"/>
        </w:rPr>
        <w:t>（项目名称）招标文件</w:t>
      </w:r>
      <w:r>
        <w:rPr>
          <w:szCs w:val="21"/>
        </w:rPr>
        <w:t>的全部内容，愿意以人民币（大写）</w:t>
      </w:r>
      <w:r>
        <w:rPr>
          <w:szCs w:val="21"/>
          <w:u w:val="single"/>
        </w:rPr>
        <w:t xml:space="preserve">    </w:t>
      </w:r>
      <w:r>
        <w:rPr>
          <w:rFonts w:hint="eastAsia"/>
          <w:szCs w:val="21"/>
          <w:u w:val="single"/>
        </w:rPr>
        <w:t xml:space="preserve">         </w:t>
      </w:r>
      <w:r>
        <w:rPr>
          <w:szCs w:val="21"/>
          <w:u w:val="single"/>
        </w:rPr>
        <w:t xml:space="preserve">     </w:t>
      </w:r>
      <w:r>
        <w:rPr>
          <w:szCs w:val="21"/>
        </w:rPr>
        <w:t>（¥</w:t>
      </w:r>
      <w:r>
        <w:rPr>
          <w:szCs w:val="21"/>
          <w:u w:val="single"/>
        </w:rPr>
        <w:t xml:space="preserve">           </w:t>
      </w:r>
      <w:r>
        <w:rPr>
          <w:szCs w:val="21"/>
        </w:rPr>
        <w:t>）</w:t>
      </w:r>
      <w:r>
        <w:rPr>
          <w:rFonts w:hint="eastAsia"/>
          <w:szCs w:val="21"/>
        </w:rPr>
        <w:t>元</w:t>
      </w:r>
      <w:r>
        <w:rPr>
          <w:szCs w:val="21"/>
        </w:rPr>
        <w:t>的投标总报价，以</w:t>
      </w:r>
      <w:r>
        <w:rPr>
          <w:rFonts w:hint="eastAsia" w:hAnsi="宋体" w:cs="宋体"/>
          <w:szCs w:val="21"/>
          <w:u w:val="single"/>
        </w:rPr>
        <w:t xml:space="preserve"> （交货期或交付使用期）  </w:t>
      </w:r>
      <w:r>
        <w:rPr>
          <w:rFonts w:hint="eastAsia" w:hAnsi="宋体" w:cs="宋体"/>
          <w:szCs w:val="21"/>
        </w:rPr>
        <w:t>，质量</w:t>
      </w:r>
      <w:r>
        <w:rPr>
          <w:rFonts w:hint="eastAsia" w:hAnsi="宋体" w:cs="宋体"/>
          <w:szCs w:val="21"/>
          <w:u w:val="single"/>
        </w:rPr>
        <w:t xml:space="preserve">             </w:t>
      </w:r>
      <w:r>
        <w:rPr>
          <w:rFonts w:hint="eastAsia" w:hAnsi="宋体" w:cs="宋体"/>
          <w:szCs w:val="21"/>
        </w:rPr>
        <w:t>，并将按招标文件的规定履行合同责任和义务</w:t>
      </w:r>
      <w:r>
        <w:rPr>
          <w:szCs w:val="21"/>
        </w:rPr>
        <w:t>，</w:t>
      </w:r>
      <w:r>
        <w:rPr>
          <w:rFonts w:hint="eastAsia"/>
          <w:szCs w:val="21"/>
        </w:rPr>
        <w:t>实现工程目的</w:t>
      </w:r>
      <w:r>
        <w:rPr>
          <w:szCs w:val="21"/>
        </w:rPr>
        <w:t>。</w:t>
      </w:r>
    </w:p>
    <w:p>
      <w:pPr>
        <w:spacing w:line="440" w:lineRule="exact"/>
        <w:ind w:firstLine="420" w:firstLineChars="200"/>
        <w:rPr>
          <w:szCs w:val="21"/>
        </w:rPr>
      </w:pPr>
      <w:r>
        <w:rPr>
          <w:szCs w:val="21"/>
        </w:rPr>
        <w:t>2．我方承诺在</w:t>
      </w:r>
      <w:r>
        <w:rPr>
          <w:rFonts w:hint="eastAsia"/>
          <w:szCs w:val="21"/>
        </w:rPr>
        <w:t>招标文件规定的</w:t>
      </w:r>
      <w:r>
        <w:rPr>
          <w:szCs w:val="21"/>
        </w:rPr>
        <w:t>投标有效期内不修改、撤销投标文件</w:t>
      </w:r>
      <w:r>
        <w:rPr>
          <w:rFonts w:hint="eastAsia"/>
          <w:szCs w:val="21"/>
        </w:rPr>
        <w:t>。</w:t>
      </w:r>
    </w:p>
    <w:p>
      <w:pPr>
        <w:spacing w:line="440" w:lineRule="exact"/>
        <w:ind w:firstLine="420" w:firstLineChars="200"/>
        <w:rPr>
          <w:szCs w:val="21"/>
        </w:rPr>
      </w:pPr>
      <w:r>
        <w:rPr>
          <w:rFonts w:hint="eastAsia"/>
          <w:szCs w:val="21"/>
        </w:rPr>
        <w:t>3</w:t>
      </w:r>
      <w:r>
        <w:rPr>
          <w:szCs w:val="21"/>
        </w:rPr>
        <w:t>．如我方中标：</w:t>
      </w:r>
    </w:p>
    <w:p>
      <w:pPr>
        <w:spacing w:line="440" w:lineRule="exact"/>
        <w:ind w:firstLine="539" w:firstLineChars="257"/>
        <w:rPr>
          <w:szCs w:val="21"/>
        </w:rPr>
      </w:pPr>
      <w:r>
        <w:rPr>
          <w:szCs w:val="21"/>
        </w:rPr>
        <w:t>（1）我方承诺在收到中标通知书后，在中标通知书规定的期限内与你方签订合同。</w:t>
      </w:r>
    </w:p>
    <w:p>
      <w:pPr>
        <w:spacing w:line="440" w:lineRule="exact"/>
        <w:ind w:firstLine="539" w:firstLineChars="257"/>
        <w:rPr>
          <w:szCs w:val="21"/>
        </w:rPr>
      </w:pPr>
      <w:r>
        <w:rPr>
          <w:szCs w:val="21"/>
        </w:rPr>
        <w:t>（2）我方承诺按照招标文件规定向你方递交履约保证金。</w:t>
      </w:r>
    </w:p>
    <w:p>
      <w:pPr>
        <w:spacing w:line="440" w:lineRule="exact"/>
        <w:ind w:firstLine="539" w:firstLineChars="257"/>
        <w:rPr>
          <w:szCs w:val="21"/>
        </w:rPr>
      </w:pPr>
      <w:r>
        <w:rPr>
          <w:szCs w:val="21"/>
        </w:rPr>
        <w:t>（3）</w:t>
      </w:r>
      <w:r>
        <w:rPr>
          <w:rFonts w:hint="eastAsia"/>
          <w:szCs w:val="21"/>
        </w:rPr>
        <w:t>我方将严格履行本投标文件中的全部承诺和责任，并遵守招标文件中对投标人的所有规定。</w:t>
      </w:r>
    </w:p>
    <w:p>
      <w:pPr>
        <w:spacing w:line="440" w:lineRule="exact"/>
        <w:ind w:firstLine="420" w:firstLineChars="200"/>
        <w:rPr>
          <w:szCs w:val="21"/>
        </w:rPr>
      </w:pPr>
      <w:r>
        <w:rPr>
          <w:rFonts w:hint="eastAsia"/>
          <w:szCs w:val="21"/>
        </w:rPr>
        <w:t>4</w:t>
      </w:r>
      <w:r>
        <w:rPr>
          <w:szCs w:val="21"/>
        </w:rPr>
        <w:t>．</w:t>
      </w:r>
      <w:r>
        <w:rPr>
          <w:rFonts w:hint="eastAsia"/>
          <w:szCs w:val="20"/>
        </w:rPr>
        <w:t>我方在此声明，所递交的投标文件及有关资料内容完整、真实和准确。</w:t>
      </w:r>
    </w:p>
    <w:p>
      <w:pPr>
        <w:spacing w:line="440" w:lineRule="exact"/>
        <w:ind w:firstLine="420" w:firstLineChars="200"/>
        <w:rPr>
          <w:szCs w:val="21"/>
        </w:rPr>
      </w:pPr>
      <w:r>
        <w:rPr>
          <w:rFonts w:hint="eastAsia"/>
          <w:szCs w:val="21"/>
        </w:rPr>
        <w:t>5．</w:t>
      </w:r>
      <w:r>
        <w:rPr>
          <w:szCs w:val="21"/>
          <w:u w:val="single"/>
        </w:rPr>
        <w:t xml:space="preserve">                                       </w:t>
      </w:r>
      <w:r>
        <w:rPr>
          <w:szCs w:val="21"/>
        </w:rPr>
        <w:t>（</w:t>
      </w:r>
      <w:r>
        <w:rPr>
          <w:rFonts w:hint="eastAsia"/>
          <w:szCs w:val="21"/>
        </w:rPr>
        <w:t>其他</w:t>
      </w:r>
      <w:r>
        <w:rPr>
          <w:szCs w:val="21"/>
        </w:rPr>
        <w:t>补充说明）。</w:t>
      </w:r>
    </w:p>
    <w:p>
      <w:pPr>
        <w:spacing w:line="360" w:lineRule="auto"/>
        <w:ind w:firstLine="4320" w:firstLineChars="1800"/>
        <w:rPr>
          <w:rFonts w:ascii="宋体"/>
          <w:sz w:val="24"/>
        </w:rPr>
      </w:pPr>
    </w:p>
    <w:p>
      <w:pPr>
        <w:spacing w:line="360" w:lineRule="auto"/>
        <w:ind w:firstLine="4320" w:firstLineChars="1800"/>
        <w:rPr>
          <w:rFonts w:ascii="宋体"/>
          <w:sz w:val="24"/>
        </w:rPr>
      </w:pPr>
    </w:p>
    <w:p>
      <w:pPr>
        <w:spacing w:line="360" w:lineRule="auto"/>
        <w:rPr>
          <w:rFonts w:ascii="宋体"/>
          <w:sz w:val="24"/>
        </w:rPr>
      </w:pPr>
      <w:r>
        <w:rPr>
          <w:rFonts w:hint="eastAsia" w:ascii="宋体" w:hAnsi="宋体"/>
          <w:sz w:val="24"/>
        </w:rPr>
        <w:t>投标人（盖单位章）：</w:t>
      </w:r>
    </w:p>
    <w:p>
      <w:pPr>
        <w:spacing w:line="360" w:lineRule="auto"/>
        <w:ind w:firstLine="2400" w:firstLineChars="1000"/>
        <w:rPr>
          <w:rFonts w:ascii="宋体"/>
          <w:sz w:val="24"/>
        </w:rPr>
      </w:pPr>
    </w:p>
    <w:p>
      <w:pPr>
        <w:spacing w:line="360" w:lineRule="auto"/>
        <w:rPr>
          <w:rFonts w:ascii="宋体"/>
          <w:sz w:val="24"/>
        </w:rPr>
      </w:pPr>
      <w:r>
        <w:rPr>
          <w:rFonts w:hint="eastAsia" w:ascii="宋体" w:hAnsi="宋体"/>
          <w:sz w:val="24"/>
        </w:rPr>
        <w:t>法定代表人或授权委托代理人（签字或盖章）：</w:t>
      </w:r>
    </w:p>
    <w:p>
      <w:pPr>
        <w:spacing w:line="360" w:lineRule="auto"/>
        <w:rPr>
          <w:rFonts w:ascii="宋体"/>
          <w:sz w:val="24"/>
        </w:rPr>
      </w:pPr>
      <w:r>
        <w:rPr>
          <w:rFonts w:hint="eastAsia" w:ascii="宋体" w:hAnsi="宋体"/>
          <w:sz w:val="24"/>
        </w:rPr>
        <w:t>日　　　期：</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p>
    <w:p>
      <w:pPr>
        <w:spacing w:line="360" w:lineRule="auto"/>
        <w:rPr>
          <w:rFonts w:ascii="宋体"/>
          <w:szCs w:val="21"/>
        </w:rPr>
      </w:pPr>
    </w:p>
    <w:p>
      <w:pPr>
        <w:adjustRightInd w:val="0"/>
        <w:spacing w:before="320" w:after="160"/>
        <w:ind w:firstLine="198" w:firstLineChars="62"/>
        <w:jc w:val="center"/>
        <w:rPr>
          <w:rFonts w:hAnsi="Arial" w:eastAsia="黑体" w:cs="Arial"/>
          <w:sz w:val="32"/>
          <w:szCs w:val="22"/>
        </w:rPr>
      </w:pPr>
    </w:p>
    <w:p>
      <w:pPr>
        <w:adjustRightInd w:val="0"/>
        <w:spacing w:before="320" w:after="160"/>
        <w:ind w:firstLine="198" w:firstLineChars="62"/>
        <w:jc w:val="center"/>
        <w:rPr>
          <w:rFonts w:hAnsi="Arial" w:eastAsia="黑体" w:cs="Arial"/>
          <w:sz w:val="32"/>
          <w:szCs w:val="22"/>
        </w:rPr>
      </w:pPr>
    </w:p>
    <w:p>
      <w:pPr>
        <w:adjustRightInd w:val="0"/>
        <w:spacing w:before="320" w:after="160"/>
        <w:ind w:firstLine="198" w:firstLineChars="62"/>
        <w:jc w:val="center"/>
        <w:rPr>
          <w:rFonts w:hAnsi="Arial" w:eastAsia="黑体" w:cs="Arial"/>
          <w:sz w:val="32"/>
          <w:szCs w:val="22"/>
        </w:rPr>
      </w:pPr>
    </w:p>
    <w:p>
      <w:pPr>
        <w:adjustRightInd w:val="0"/>
        <w:spacing w:before="320" w:after="160"/>
        <w:ind w:firstLine="198" w:firstLineChars="62"/>
        <w:jc w:val="center"/>
        <w:rPr>
          <w:rFonts w:hint="eastAsia" w:hAnsi="Arial" w:eastAsia="黑体" w:cs="Arial"/>
          <w:sz w:val="32"/>
          <w:szCs w:val="22"/>
        </w:rPr>
      </w:pPr>
      <w:r>
        <w:rPr>
          <w:rFonts w:hint="eastAsia" w:hAnsi="Arial" w:eastAsia="黑体" w:cs="Arial"/>
          <w:sz w:val="32"/>
          <w:szCs w:val="22"/>
        </w:rPr>
        <w:t>二、投标报价表</w:t>
      </w:r>
    </w:p>
    <w:p>
      <w:pPr>
        <w:widowControl/>
        <w:shd w:val="clear" w:color="auto" w:fill="FFFFFF"/>
        <w:spacing w:line="480" w:lineRule="atLeast"/>
        <w:rPr>
          <w:rFonts w:ascii="宋体" w:hAnsi="宋体" w:cs="Arial"/>
          <w:kern w:val="0"/>
          <w:sz w:val="24"/>
          <w:shd w:val="clear" w:color="auto" w:fill="FFFFFF"/>
        </w:rPr>
      </w:pPr>
      <w:r>
        <w:rPr>
          <w:rFonts w:hint="eastAsia" w:ascii="宋体" w:hAnsi="宋体" w:cs="Arial"/>
          <w:kern w:val="0"/>
          <w:sz w:val="24"/>
          <w:shd w:val="clear" w:color="auto" w:fill="FFFFFF"/>
        </w:rPr>
        <w:t>项目名称：B大道以北、湖东路以东地块(暂定名金融商务中心启动区）充电桩采购及安装</w:t>
      </w:r>
    </w:p>
    <w:tbl>
      <w:tblPr>
        <w:tblStyle w:val="50"/>
        <w:tblW w:w="4997" w:type="pct"/>
        <w:tblInd w:w="0" w:type="dxa"/>
        <w:tblLayout w:type="autofit"/>
        <w:tblCellMar>
          <w:top w:w="0" w:type="dxa"/>
          <w:left w:w="108" w:type="dxa"/>
          <w:bottom w:w="0" w:type="dxa"/>
          <w:right w:w="108" w:type="dxa"/>
        </w:tblCellMar>
      </w:tblPr>
      <w:tblGrid>
        <w:gridCol w:w="416"/>
        <w:gridCol w:w="1343"/>
        <w:gridCol w:w="2275"/>
        <w:gridCol w:w="651"/>
        <w:gridCol w:w="808"/>
        <w:gridCol w:w="1070"/>
        <w:gridCol w:w="1080"/>
        <w:gridCol w:w="874"/>
      </w:tblGrid>
      <w:tr>
        <w:tblPrEx>
          <w:tblCellMar>
            <w:top w:w="0" w:type="dxa"/>
            <w:left w:w="108" w:type="dxa"/>
            <w:bottom w:w="0" w:type="dxa"/>
            <w:right w:w="108" w:type="dxa"/>
          </w:tblCellMar>
        </w:tblPrEx>
        <w:trPr>
          <w:trHeight w:val="55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Cs w:val="21"/>
              </w:rPr>
            </w:pPr>
            <w:r>
              <w:rPr>
                <w:rFonts w:hint="eastAsia" w:ascii="宋体" w:hAnsi="宋体" w:cs="宋体"/>
                <w:kern w:val="0"/>
                <w:sz w:val="20"/>
                <w:szCs w:val="20"/>
              </w:rPr>
              <w:t>序号</w:t>
            </w:r>
          </w:p>
        </w:tc>
        <w:tc>
          <w:tcPr>
            <w:tcW w:w="78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Cs w:val="21"/>
              </w:rPr>
            </w:pPr>
            <w:r>
              <w:rPr>
                <w:rFonts w:hint="eastAsia" w:ascii="宋体" w:hAnsi="宋体" w:cs="宋体"/>
                <w:kern w:val="0"/>
                <w:sz w:val="20"/>
                <w:szCs w:val="20"/>
              </w:rPr>
              <w:t>名称</w:t>
            </w:r>
          </w:p>
        </w:tc>
        <w:tc>
          <w:tcPr>
            <w:tcW w:w="13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 w:val="20"/>
                <w:szCs w:val="20"/>
              </w:rPr>
              <w:t>要求</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计量</w:t>
            </w:r>
          </w:p>
          <w:p>
            <w:pPr>
              <w:jc w:val="center"/>
              <w:rPr>
                <w:rFonts w:ascii="宋体" w:hAnsi="宋体" w:cs="宋体"/>
                <w:szCs w:val="21"/>
              </w:rPr>
            </w:pPr>
            <w:r>
              <w:rPr>
                <w:rFonts w:hint="eastAsia" w:ascii="宋体" w:hAnsi="宋体" w:cs="宋体"/>
                <w:kern w:val="0"/>
                <w:sz w:val="20"/>
                <w:szCs w:val="20"/>
              </w:rPr>
              <w:t>单位</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szCs w:val="21"/>
              </w:rPr>
            </w:pPr>
            <w:r>
              <w:rPr>
                <w:rFonts w:hint="eastAsia" w:ascii="宋体" w:hAnsi="宋体" w:cs="宋体"/>
                <w:kern w:val="0"/>
                <w:sz w:val="20"/>
                <w:szCs w:val="20"/>
              </w:rPr>
              <w:t>工程量</w:t>
            </w: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kern w:val="0"/>
                <w:sz w:val="20"/>
                <w:szCs w:val="20"/>
              </w:rPr>
            </w:pPr>
            <w:r>
              <w:rPr>
                <w:rFonts w:hint="eastAsia" w:ascii="宋体" w:hAnsi="宋体" w:cs="宋体"/>
                <w:kern w:val="0"/>
                <w:sz w:val="20"/>
                <w:szCs w:val="20"/>
              </w:rPr>
              <w:t>全费用</w:t>
            </w:r>
          </w:p>
          <w:p>
            <w:pPr>
              <w:jc w:val="center"/>
              <w:rPr>
                <w:rFonts w:ascii="宋体" w:hAnsi="宋体" w:cs="宋体"/>
                <w:szCs w:val="21"/>
              </w:rPr>
            </w:pPr>
            <w:r>
              <w:rPr>
                <w:rFonts w:hint="eastAsia" w:ascii="宋体" w:hAnsi="宋体" w:cs="宋体"/>
                <w:kern w:val="0"/>
                <w:sz w:val="20"/>
                <w:szCs w:val="20"/>
              </w:rPr>
              <w:t>综合单价（元）</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kern w:val="0"/>
                <w:sz w:val="20"/>
                <w:szCs w:val="20"/>
              </w:rPr>
            </w:pPr>
            <w:r>
              <w:rPr>
                <w:rFonts w:hint="eastAsia" w:ascii="宋体" w:hAnsi="宋体" w:cs="宋体"/>
                <w:kern w:val="0"/>
                <w:sz w:val="20"/>
                <w:szCs w:val="20"/>
              </w:rPr>
              <w:t>全费用</w:t>
            </w:r>
          </w:p>
          <w:p>
            <w:pPr>
              <w:jc w:val="center"/>
              <w:rPr>
                <w:rFonts w:ascii="宋体" w:hAnsi="宋体" w:cs="宋体"/>
                <w:szCs w:val="21"/>
              </w:rPr>
            </w:pPr>
            <w:r>
              <w:rPr>
                <w:rFonts w:hint="eastAsia" w:ascii="宋体" w:hAnsi="宋体" w:cs="宋体"/>
                <w:kern w:val="0"/>
                <w:sz w:val="20"/>
                <w:szCs w:val="20"/>
              </w:rPr>
              <w:t>合价</w:t>
            </w:r>
            <w:r>
              <w:rPr>
                <w:rFonts w:ascii="宋体" w:hAnsi="宋体" w:cs="宋体"/>
                <w:kern w:val="0"/>
                <w:sz w:val="20"/>
                <w:szCs w:val="20"/>
              </w:rPr>
              <w:t>（元）</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Arial" w:hAnsi="Arial" w:cs="Arial"/>
                <w:sz w:val="20"/>
                <w:szCs w:val="20"/>
              </w:rPr>
            </w:pPr>
            <w:r>
              <w:rPr>
                <w:rFonts w:hint="eastAsia" w:ascii="宋体" w:hAnsi="宋体" w:cs="宋体"/>
                <w:kern w:val="0"/>
                <w:szCs w:val="21"/>
                <w:lang w:val="zh-CN" w:bidi="zh-CN"/>
              </w:rPr>
              <w:t>品牌</w:t>
            </w:r>
          </w:p>
        </w:tc>
      </w:tr>
      <w:tr>
        <w:tblPrEx>
          <w:tblCellMar>
            <w:top w:w="0" w:type="dxa"/>
            <w:left w:w="108" w:type="dxa"/>
            <w:bottom w:w="0" w:type="dxa"/>
            <w:right w:w="108" w:type="dxa"/>
          </w:tblCellMar>
        </w:tblPrEx>
        <w:trPr>
          <w:trHeight w:val="1255"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1</w:t>
            </w:r>
          </w:p>
        </w:tc>
        <w:tc>
          <w:tcPr>
            <w:tcW w:w="78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20"/>
                <w:szCs w:val="20"/>
              </w:rPr>
            </w:pPr>
            <w:r>
              <w:rPr>
                <w:rFonts w:hint="eastAsia" w:ascii="宋体" w:hAnsi="宋体" w:eastAsia="宋体" w:cs="宋体"/>
                <w:color w:val="auto"/>
                <w:kern w:val="0"/>
                <w:sz w:val="20"/>
                <w:szCs w:val="20"/>
                <w:lang w:val="en-US" w:eastAsia="zh-CN"/>
              </w:rPr>
              <w:t>7kw充电桩</w:t>
            </w:r>
          </w:p>
        </w:tc>
        <w:tc>
          <w:tcPr>
            <w:tcW w:w="13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kern w:val="0"/>
                <w:sz w:val="20"/>
                <w:szCs w:val="20"/>
              </w:rPr>
            </w:pPr>
            <w:r>
              <w:rPr>
                <w:rFonts w:hint="eastAsia" w:ascii="宋体" w:hAnsi="宋体" w:cs="宋体"/>
                <w:color w:val="auto"/>
                <w:kern w:val="0"/>
                <w:sz w:val="20"/>
                <w:szCs w:val="20"/>
              </w:rPr>
              <w:t>详见图纸及技术要求</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20"/>
                <w:szCs w:val="20"/>
              </w:rPr>
            </w:pPr>
            <w:r>
              <w:rPr>
                <w:rFonts w:hint="eastAsia" w:ascii="宋体" w:hAnsi="宋体" w:cs="宋体"/>
                <w:color w:val="auto"/>
                <w:kern w:val="0"/>
                <w:sz w:val="20"/>
                <w:szCs w:val="20"/>
              </w:rPr>
              <w:t>台</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20"/>
                <w:szCs w:val="20"/>
              </w:rPr>
            </w:pPr>
            <w:r>
              <w:rPr>
                <w:rFonts w:hint="eastAsia" w:ascii="宋体" w:hAnsi="宋体" w:cs="宋体"/>
                <w:color w:val="auto"/>
                <w:kern w:val="0"/>
                <w:sz w:val="20"/>
                <w:szCs w:val="20"/>
              </w:rPr>
              <w:t>621</w:t>
            </w: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auto"/>
                <w:sz w:val="20"/>
                <w:szCs w:val="20"/>
              </w:rPr>
            </w:pPr>
          </w:p>
        </w:tc>
      </w:tr>
      <w:tr>
        <w:tblPrEx>
          <w:tblCellMar>
            <w:top w:w="0" w:type="dxa"/>
            <w:left w:w="108" w:type="dxa"/>
            <w:bottom w:w="0" w:type="dxa"/>
            <w:right w:w="108" w:type="dxa"/>
          </w:tblCellMar>
        </w:tblPrEx>
        <w:trPr>
          <w:trHeight w:val="111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2</w:t>
            </w:r>
          </w:p>
        </w:tc>
        <w:tc>
          <w:tcPr>
            <w:tcW w:w="7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cs="宋体"/>
                <w:color w:val="auto"/>
                <w:kern w:val="0"/>
                <w:sz w:val="20"/>
                <w:szCs w:val="20"/>
                <w:lang w:val="en-US" w:eastAsia="zh-CN"/>
              </w:rPr>
              <w:t>落地支架</w:t>
            </w:r>
          </w:p>
        </w:tc>
        <w:tc>
          <w:tcPr>
            <w:tcW w:w="13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jc w:val="left"/>
              <w:textAlignment w:val="center"/>
              <w:rPr>
                <w:rFonts w:ascii="宋体" w:hAnsi="宋体" w:cs="宋体"/>
                <w:color w:val="auto"/>
                <w:kern w:val="0"/>
                <w:sz w:val="20"/>
                <w:szCs w:val="20"/>
              </w:rPr>
            </w:pPr>
            <w:r>
              <w:rPr>
                <w:rFonts w:hint="eastAsia" w:ascii="宋体" w:hAnsi="宋体" w:cs="宋体"/>
                <w:color w:val="auto"/>
                <w:kern w:val="0"/>
                <w:sz w:val="20"/>
                <w:szCs w:val="20"/>
              </w:rPr>
              <w:t>详见图纸及技术要求</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个</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300</w:t>
            </w: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auto"/>
                <w:sz w:val="20"/>
                <w:szCs w:val="20"/>
              </w:rPr>
            </w:pPr>
          </w:p>
        </w:tc>
      </w:tr>
      <w:tr>
        <w:tblPrEx>
          <w:tblCellMar>
            <w:top w:w="0" w:type="dxa"/>
            <w:left w:w="108" w:type="dxa"/>
            <w:bottom w:w="0" w:type="dxa"/>
            <w:right w:w="108" w:type="dxa"/>
          </w:tblCellMar>
        </w:tblPrEx>
        <w:trPr>
          <w:trHeight w:val="559" w:hRule="atLeast"/>
        </w:trPr>
        <w:tc>
          <w:tcPr>
            <w:tcW w:w="236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合计</w:t>
            </w:r>
          </w:p>
        </w:tc>
        <w:tc>
          <w:tcPr>
            <w:tcW w:w="211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auto"/>
                <w:sz w:val="20"/>
                <w:szCs w:val="20"/>
              </w:rPr>
            </w:pPr>
          </w:p>
        </w:tc>
      </w:tr>
    </w:tbl>
    <w:p>
      <w:pPr>
        <w:spacing w:line="360" w:lineRule="auto"/>
        <w:rPr>
          <w:rFonts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ascii="宋体"/>
          <w:sz w:val="24"/>
        </w:rPr>
      </w:pPr>
      <w:r>
        <w:rPr>
          <w:rFonts w:hint="eastAsia" w:ascii="宋体" w:hAnsi="宋体"/>
          <w:sz w:val="24"/>
        </w:rPr>
        <w:t>投标人（盖单位章）：</w:t>
      </w:r>
    </w:p>
    <w:p>
      <w:pPr>
        <w:widowControl/>
        <w:shd w:val="clear" w:color="auto" w:fill="FFFFFF"/>
        <w:spacing w:line="480" w:lineRule="atLeast"/>
        <w:ind w:right="1200"/>
        <w:rPr>
          <w:rFonts w:ascii="宋体" w:hAnsi="宋体" w:cs="Arial"/>
          <w:kern w:val="0"/>
          <w:sz w:val="24"/>
          <w:shd w:val="clear" w:color="auto" w:fill="FFFFFF"/>
        </w:rPr>
      </w:pPr>
      <w:r>
        <w:rPr>
          <w:rFonts w:hint="eastAsia" w:ascii="宋体" w:hAnsi="宋体"/>
          <w:sz w:val="24"/>
        </w:rPr>
        <w:t>法定代表人或授权委托代理人（签字或盖章）：</w:t>
      </w:r>
    </w:p>
    <w:p>
      <w:pPr>
        <w:widowControl/>
        <w:shd w:val="clear" w:color="auto" w:fill="FFFFFF"/>
        <w:spacing w:line="480" w:lineRule="atLeast"/>
        <w:ind w:right="960"/>
        <w:rPr>
          <w:rFonts w:ascii="宋体" w:hAnsi="宋体" w:cs="Arial"/>
          <w:kern w:val="0"/>
          <w:sz w:val="24"/>
          <w:shd w:val="clear" w:color="auto" w:fill="FFFFFF"/>
        </w:rPr>
      </w:pPr>
      <w:r>
        <w:rPr>
          <w:rFonts w:hint="eastAsia" w:ascii="宋体" w:hAnsi="宋体" w:cs="Arial"/>
          <w:kern w:val="0"/>
          <w:sz w:val="24"/>
          <w:shd w:val="clear" w:color="auto" w:fill="FFFFFF"/>
        </w:rPr>
        <w:t>日期：</w:t>
      </w:r>
      <w:r>
        <w:rPr>
          <w:rFonts w:ascii="宋体" w:hAnsi="宋体" w:cs="Arial"/>
          <w:kern w:val="0"/>
          <w:sz w:val="24"/>
          <w:shd w:val="clear" w:color="auto" w:fill="FFFFFF"/>
        </w:rPr>
        <w:t>  </w:t>
      </w:r>
      <w:r>
        <w:rPr>
          <w:rFonts w:hint="eastAsia" w:ascii="宋体" w:hAnsi="宋体" w:cs="Arial"/>
          <w:kern w:val="0"/>
          <w:sz w:val="24"/>
          <w:shd w:val="clear" w:color="auto" w:fill="FFFFFF"/>
        </w:rPr>
        <w:t>年</w:t>
      </w:r>
      <w:r>
        <w:rPr>
          <w:rFonts w:ascii="宋体" w:hAnsi="宋体" w:cs="Arial"/>
          <w:kern w:val="0"/>
          <w:sz w:val="24"/>
          <w:shd w:val="clear" w:color="auto" w:fill="FFFFFF"/>
        </w:rPr>
        <w:t>  </w:t>
      </w:r>
      <w:r>
        <w:rPr>
          <w:rFonts w:hint="eastAsia" w:ascii="宋体" w:hAnsi="宋体" w:cs="Arial"/>
          <w:kern w:val="0"/>
          <w:sz w:val="24"/>
          <w:shd w:val="clear" w:color="auto" w:fill="FFFFFF"/>
        </w:rPr>
        <w:t>月</w:t>
      </w:r>
      <w:r>
        <w:rPr>
          <w:rFonts w:ascii="宋体" w:hAnsi="宋体" w:cs="Arial"/>
          <w:kern w:val="0"/>
          <w:sz w:val="24"/>
          <w:shd w:val="clear" w:color="auto" w:fill="FFFFFF"/>
        </w:rPr>
        <w:t>  </w:t>
      </w:r>
      <w:r>
        <w:rPr>
          <w:rFonts w:hint="eastAsia" w:ascii="宋体" w:hAnsi="宋体" w:cs="Arial"/>
          <w:kern w:val="0"/>
          <w:sz w:val="24"/>
          <w:shd w:val="clear" w:color="auto" w:fill="FFFFFF"/>
        </w:rPr>
        <w:t>日</w:t>
      </w:r>
    </w:p>
    <w:p>
      <w:pPr>
        <w:pStyle w:val="2"/>
      </w:pPr>
    </w:p>
    <w:p>
      <w:pPr>
        <w:pStyle w:val="49"/>
        <w:ind w:firstLine="201"/>
      </w:pPr>
    </w:p>
    <w:p>
      <w:pPr>
        <w:pStyle w:val="49"/>
        <w:ind w:firstLine="201"/>
      </w:pPr>
    </w:p>
    <w:p>
      <w:pPr>
        <w:pStyle w:val="49"/>
        <w:ind w:firstLine="201"/>
      </w:pPr>
    </w:p>
    <w:p>
      <w:pPr>
        <w:pStyle w:val="49"/>
        <w:ind w:firstLine="201"/>
      </w:pPr>
    </w:p>
    <w:p>
      <w:pPr>
        <w:pStyle w:val="49"/>
        <w:ind w:firstLine="201"/>
      </w:pPr>
    </w:p>
    <w:p>
      <w:pPr>
        <w:pStyle w:val="49"/>
        <w:ind w:firstLine="201"/>
      </w:pPr>
    </w:p>
    <w:p>
      <w:pPr>
        <w:pStyle w:val="49"/>
        <w:ind w:firstLine="201"/>
      </w:pPr>
    </w:p>
    <w:p>
      <w:pPr>
        <w:pStyle w:val="49"/>
        <w:ind w:firstLine="201"/>
      </w:pPr>
    </w:p>
    <w:p>
      <w:pPr>
        <w:pStyle w:val="49"/>
        <w:ind w:firstLine="201"/>
      </w:pPr>
    </w:p>
    <w:p>
      <w:pPr>
        <w:pStyle w:val="49"/>
        <w:ind w:firstLine="201"/>
      </w:pPr>
    </w:p>
    <w:p>
      <w:pPr>
        <w:pStyle w:val="49"/>
        <w:ind w:firstLine="201"/>
      </w:pPr>
    </w:p>
    <w:p>
      <w:pPr>
        <w:pStyle w:val="49"/>
        <w:ind w:firstLine="201"/>
      </w:pPr>
    </w:p>
    <w:bookmarkEnd w:id="576"/>
    <w:p>
      <w:pPr>
        <w:pStyle w:val="49"/>
        <w:ind w:left="0" w:leftChars="0" w:firstLine="0" w:firstLineChars="0"/>
        <w:rPr>
          <w:rFonts w:asciiTheme="minorEastAsia" w:hAnsiTheme="minorEastAsia" w:eastAsiaTheme="minorEastAsia" w:cstheme="minorEastAsia"/>
          <w:sz w:val="21"/>
          <w:szCs w:val="21"/>
        </w:rPr>
      </w:pPr>
    </w:p>
    <w:sectPr>
      <w:footerReference r:id="rId1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
    <w:altName w:val="宋体"/>
    <w:panose1 w:val="00000000000000000000"/>
    <w:charset w:val="86"/>
    <w:family w:val="roman"/>
    <w:pitch w:val="default"/>
    <w:sig w:usb0="00000000" w:usb1="00000000" w:usb2="00000000"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Impact">
    <w:panose1 w:val="020B0806030902050204"/>
    <w:charset w:val="00"/>
    <w:family w:val="swiss"/>
    <w:pitch w:val="default"/>
    <w:sig w:usb0="00000287" w:usb1="00000000" w:usb2="00000000" w:usb3="00000000" w:csb0="2000009F" w:csb1="DFD70000"/>
  </w:font>
  <w:font w:name="长城仿宋">
    <w:altName w:val="黑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华文中宋">
    <w:altName w:val="宋体"/>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swiss"/>
    <w:pitch w:val="default"/>
    <w:sig w:usb0="00000000" w:usb1="00000000" w:usb2="0000003F" w:usb3="00000000" w:csb0="603F01FF" w:csb1="FFFF0000"/>
  </w:font>
  <w:font w:name="Plotter">
    <w:altName w:val="Times New Roman"/>
    <w:panose1 w:val="00000000000000000000"/>
    <w:charset w:val="00"/>
    <w:family w:val="roman"/>
    <w:pitch w:val="default"/>
    <w:sig w:usb0="00000000" w:usb1="00000000" w:usb2="00000000" w:usb3="00000000" w:csb0="00000003" w:csb1="0012CEFC"/>
  </w:font>
  <w:font w:name="仿宋">
    <w:panose1 w:val="02010609060101010101"/>
    <w:charset w:val="86"/>
    <w:family w:val="modern"/>
    <w:pitch w:val="default"/>
    <w:sig w:usb0="800002BF" w:usb1="38CF7CFA" w:usb2="00000016" w:usb3="00000000" w:csb0="00040001" w:csb1="00000000"/>
  </w:font>
  <w:font w:name="方正大标宋_GBK">
    <w:altName w:val="宋体"/>
    <w:panose1 w:val="00000000000000000000"/>
    <w:charset w:val="86"/>
    <w:family w:val="auto"/>
    <w:pitch w:val="default"/>
    <w:sig w:usb0="00000000" w:usb1="00000000" w:usb2="00000000" w:usb3="00000000" w:csb0="00040000" w:csb1="00000000"/>
  </w:font>
  <w:font w:name="TimesNewRomanPSMT">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fldChar w:fldCharType="begin"/>
    </w:r>
    <w:r>
      <w:instrText xml:space="preserve"> PAGE   \* MERGEFORMAT </w:instrText>
    </w:r>
    <w:r>
      <w:fldChar w:fldCharType="separate"/>
    </w:r>
    <w:r>
      <w:rPr>
        <w:lang w:val="zh-CN"/>
      </w:rPr>
      <w:t>2</w:t>
    </w:r>
    <w:r>
      <w:rPr>
        <w:lang w:val="zh-CN"/>
      </w:rPr>
      <w:fldChar w:fldCharType="end"/>
    </w:r>
  </w:p>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3"/>
      <w:rPr>
        <w:rStyle w:val="54"/>
      </w:rPr>
    </w:pPr>
    <w:r>
      <w:rPr>
        <w:rStyle w:val="54"/>
      </w:rPr>
      <w:fldChar w:fldCharType="begin"/>
    </w:r>
    <w:r>
      <w:rPr>
        <w:rStyle w:val="54"/>
      </w:rPr>
      <w:instrText xml:space="preserve">PAGE  </w:instrText>
    </w:r>
    <w:r>
      <w:rPr>
        <w:rStyle w:val="54"/>
      </w:rPr>
      <w:fldChar w:fldCharType="end"/>
    </w:r>
  </w:p>
  <w:p>
    <w:pPr>
      <w:pStyle w:val="3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kern w:val="0"/>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1"/>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pStyle w:val="31"/>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left="132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1"/>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tZlUyAgAAY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1mVTICAABjBAAADgAAAAAAAAABACAAAAAfAQAAZHJzL2Uyb0RvYy54bWxQSwUG&#10;AAAAAAYABgBZAQAAwwUAAAAA&#10;">
              <v:fill on="f" focussize="0,0"/>
              <v:stroke on="f" weight="0.5pt"/>
              <v:imagedata o:title=""/>
              <o:lock v:ext="edit" aspectratio="f"/>
              <v:textbox inset="0mm,0mm,0mm,0mm" style="mso-fit-shape-to-text:t;">
                <w:txbxContent>
                  <w:p>
                    <w:pPr>
                      <w:pStyle w:val="31"/>
                    </w:pPr>
                    <w:r>
                      <w:fldChar w:fldCharType="begin"/>
                    </w:r>
                    <w:r>
                      <w:instrText xml:space="preserve"> PAGE  \* MERGEFORMAT </w:instrText>
                    </w:r>
                    <w:r>
                      <w:fldChar w:fldCharType="separate"/>
                    </w:r>
                    <w:r>
                      <w:t>3</w:t>
                    </w:r>
                    <w:r>
                      <w:fldChar w:fldCharType="end"/>
                    </w:r>
                  </w:p>
                </w:txbxContent>
              </v:textbox>
            </v:shape>
          </w:pict>
        </mc:Fallback>
      </mc:AlternateContent>
    </w:r>
  </w:p>
  <w:p>
    <w:pP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fldChar w:fldCharType="begin"/>
    </w:r>
    <w:r>
      <w:instrText xml:space="preserve"> PAGE   \* MERGEFORMAT </w:instrText>
    </w:r>
    <w:r>
      <w:fldChar w:fldCharType="separate"/>
    </w:r>
    <w:r>
      <w:rPr>
        <w:lang w:val="zh-CN"/>
      </w:rPr>
      <w:t>44</w:t>
    </w:r>
    <w:r>
      <w:rPr>
        <w:lang w:val="zh-CN"/>
      </w:rPr>
      <w:fldChar w:fldCharType="end"/>
    </w:r>
  </w:p>
  <w:p>
    <w:pPr>
      <w:pStyle w:val="3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0D5157"/>
    <w:multiLevelType w:val="singleLevel"/>
    <w:tmpl w:val="830D5157"/>
    <w:lvl w:ilvl="0" w:tentative="0">
      <w:start w:val="7"/>
      <w:numFmt w:val="decimal"/>
      <w:suff w:val="nothing"/>
      <w:lvlText w:val="（%1）"/>
      <w:lvlJc w:val="left"/>
    </w:lvl>
  </w:abstractNum>
  <w:abstractNum w:abstractNumId="1">
    <w:nsid w:val="B44D830C"/>
    <w:multiLevelType w:val="singleLevel"/>
    <w:tmpl w:val="B44D830C"/>
    <w:lvl w:ilvl="0" w:tentative="0">
      <w:start w:val="1"/>
      <w:numFmt w:val="decimal"/>
      <w:suff w:val="nothing"/>
      <w:lvlText w:val="%1）"/>
      <w:lvlJc w:val="left"/>
      <w:pPr>
        <w:ind w:left="2520"/>
      </w:pPr>
    </w:lvl>
  </w:abstractNum>
  <w:abstractNum w:abstractNumId="2">
    <w:nsid w:val="FB8866FD"/>
    <w:multiLevelType w:val="singleLevel"/>
    <w:tmpl w:val="FB8866FD"/>
    <w:lvl w:ilvl="0" w:tentative="0">
      <w:start w:val="9"/>
      <w:numFmt w:val="chineseCounting"/>
      <w:suff w:val="space"/>
      <w:lvlText w:val="第%1条"/>
      <w:lvlJc w:val="left"/>
      <w:rPr>
        <w:rFonts w:hint="eastAsia"/>
      </w:rPr>
    </w:lvl>
  </w:abstractNum>
  <w:abstractNum w:abstractNumId="3">
    <w:nsid w:val="0CBF0155"/>
    <w:multiLevelType w:val="singleLevel"/>
    <w:tmpl w:val="0CBF0155"/>
    <w:lvl w:ilvl="0" w:tentative="0">
      <w:start w:val="1"/>
      <w:numFmt w:val="decimal"/>
      <w:pStyle w:val="473"/>
      <w:suff w:val="nothing"/>
      <w:lvlText w:val="%1、"/>
      <w:lvlJc w:val="left"/>
      <w:rPr>
        <w:rFonts w:cs="Times New Roman"/>
      </w:rPr>
    </w:lvl>
  </w:abstractNum>
  <w:abstractNum w:abstractNumId="4">
    <w:nsid w:val="2E5CF3BC"/>
    <w:multiLevelType w:val="singleLevel"/>
    <w:tmpl w:val="2E5CF3BC"/>
    <w:lvl w:ilvl="0" w:tentative="0">
      <w:start w:val="1"/>
      <w:numFmt w:val="chineseCounting"/>
      <w:suff w:val="nothing"/>
      <w:lvlText w:val="%1、"/>
      <w:lvlJc w:val="left"/>
      <w:rPr>
        <w:rFonts w:hint="eastAsia"/>
      </w:rPr>
    </w:lvl>
  </w:abstractNum>
  <w:abstractNum w:abstractNumId="5">
    <w:nsid w:val="5912E616"/>
    <w:multiLevelType w:val="multilevel"/>
    <w:tmpl w:val="5912E616"/>
    <w:lvl w:ilvl="0" w:tentative="0">
      <w:start w:val="1"/>
      <w:numFmt w:val="decimal"/>
      <w:suff w:val="nothing"/>
      <w:lvlText w:val="（%1）"/>
      <w:lvlJc w:val="left"/>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pStyle w:val="277"/>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5E0E590A"/>
    <w:multiLevelType w:val="singleLevel"/>
    <w:tmpl w:val="5E0E590A"/>
    <w:lvl w:ilvl="0" w:tentative="0">
      <w:start w:val="3"/>
      <w:numFmt w:val="chineseCounting"/>
      <w:suff w:val="nothing"/>
      <w:lvlText w:val="%1、"/>
      <w:lvlJc w:val="left"/>
      <w:rPr>
        <w:rFonts w:hint="eastAsia"/>
      </w:rPr>
    </w:lvl>
  </w:abstractNum>
  <w:abstractNum w:abstractNumId="7">
    <w:nsid w:val="646260FA"/>
    <w:multiLevelType w:val="multilevel"/>
    <w:tmpl w:val="646260FA"/>
    <w:lvl w:ilvl="0" w:tentative="0">
      <w:start w:val="1"/>
      <w:numFmt w:val="decimal"/>
      <w:pStyle w:val="584"/>
      <w:suff w:val="nothing"/>
      <w:lvlText w:val="表%1　"/>
      <w:lvlJc w:val="left"/>
      <w:pPr>
        <w:ind w:left="0" w:firstLine="0"/>
      </w:pPr>
      <w:rPr>
        <w:rFonts w:hint="eastAsia" w:ascii="黑体" w:hAnsi="Times New Roman" w:eastAsia="黑体"/>
        <w:b w:val="0"/>
        <w:i w:val="0"/>
        <w:color w:val="000000"/>
        <w:sz w:val="21"/>
        <w:lang w:val="en-US"/>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73E49FCB"/>
    <w:multiLevelType w:val="singleLevel"/>
    <w:tmpl w:val="73E49FCB"/>
    <w:lvl w:ilvl="0" w:tentative="0">
      <w:start w:val="1"/>
      <w:numFmt w:val="decimal"/>
      <w:suff w:val="nothing"/>
      <w:lvlText w:val="%1）"/>
      <w:lvlJc w:val="left"/>
      <w:pPr>
        <w:ind w:left="735" w:firstLine="0"/>
      </w:pPr>
    </w:lvl>
  </w:abstractNum>
  <w:abstractNum w:abstractNumId="9">
    <w:nsid w:val="755BBD2B"/>
    <w:multiLevelType w:val="singleLevel"/>
    <w:tmpl w:val="755BBD2B"/>
    <w:lvl w:ilvl="0" w:tentative="0">
      <w:start w:val="1"/>
      <w:numFmt w:val="decimal"/>
      <w:suff w:val="nothing"/>
      <w:lvlText w:val="（%1）"/>
      <w:lvlJc w:val="left"/>
    </w:lvl>
  </w:abstractNum>
  <w:num w:numId="1">
    <w:abstractNumId w:val="5"/>
  </w:num>
  <w:num w:numId="2">
    <w:abstractNumId w:val="3"/>
  </w:num>
  <w:num w:numId="3">
    <w:abstractNumId w:val="7"/>
  </w:num>
  <w:num w:numId="4">
    <w:abstractNumId w:val="9"/>
  </w:num>
  <w:num w:numId="5">
    <w:abstractNumId w:val="8"/>
  </w:num>
  <w:num w:numId="6">
    <w:abstractNumId w:val="1"/>
  </w:num>
  <w:num w:numId="7">
    <w:abstractNumId w:val="2"/>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hideSpellingError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0ZGExMWM1YjNmZjYxMjRmNmFlY2VlZWE5OGEzNGIifQ=="/>
  </w:docVars>
  <w:rsids>
    <w:rsidRoot w:val="00172A27"/>
    <w:rsid w:val="00001B95"/>
    <w:rsid w:val="00002485"/>
    <w:rsid w:val="00004508"/>
    <w:rsid w:val="00004D15"/>
    <w:rsid w:val="00005367"/>
    <w:rsid w:val="00005995"/>
    <w:rsid w:val="00005BA7"/>
    <w:rsid w:val="0001124A"/>
    <w:rsid w:val="000123D2"/>
    <w:rsid w:val="00013D5A"/>
    <w:rsid w:val="000140EE"/>
    <w:rsid w:val="00014CB4"/>
    <w:rsid w:val="00016C46"/>
    <w:rsid w:val="0002063F"/>
    <w:rsid w:val="000207AD"/>
    <w:rsid w:val="00021592"/>
    <w:rsid w:val="0002186B"/>
    <w:rsid w:val="00021B4F"/>
    <w:rsid w:val="00021D36"/>
    <w:rsid w:val="000228CD"/>
    <w:rsid w:val="0002343C"/>
    <w:rsid w:val="00023E1D"/>
    <w:rsid w:val="00025341"/>
    <w:rsid w:val="00025D3C"/>
    <w:rsid w:val="0002615C"/>
    <w:rsid w:val="00027346"/>
    <w:rsid w:val="00027D90"/>
    <w:rsid w:val="000308CE"/>
    <w:rsid w:val="00030D52"/>
    <w:rsid w:val="00030E53"/>
    <w:rsid w:val="0003146B"/>
    <w:rsid w:val="000319A5"/>
    <w:rsid w:val="00032701"/>
    <w:rsid w:val="000328D3"/>
    <w:rsid w:val="00032C04"/>
    <w:rsid w:val="000330C5"/>
    <w:rsid w:val="00033E74"/>
    <w:rsid w:val="00034955"/>
    <w:rsid w:val="00035F52"/>
    <w:rsid w:val="000364A4"/>
    <w:rsid w:val="0003701F"/>
    <w:rsid w:val="0003785D"/>
    <w:rsid w:val="00040AAF"/>
    <w:rsid w:val="00040C13"/>
    <w:rsid w:val="000446B1"/>
    <w:rsid w:val="00044D50"/>
    <w:rsid w:val="00044EA9"/>
    <w:rsid w:val="00045542"/>
    <w:rsid w:val="00050A36"/>
    <w:rsid w:val="0005111B"/>
    <w:rsid w:val="000517EC"/>
    <w:rsid w:val="0005212D"/>
    <w:rsid w:val="0005312A"/>
    <w:rsid w:val="00053B9E"/>
    <w:rsid w:val="00053E86"/>
    <w:rsid w:val="0005448E"/>
    <w:rsid w:val="00054AC7"/>
    <w:rsid w:val="00054C35"/>
    <w:rsid w:val="000558A6"/>
    <w:rsid w:val="00056BFA"/>
    <w:rsid w:val="00057DA0"/>
    <w:rsid w:val="00061222"/>
    <w:rsid w:val="00061841"/>
    <w:rsid w:val="00061DD9"/>
    <w:rsid w:val="00061FF8"/>
    <w:rsid w:val="0006332F"/>
    <w:rsid w:val="00063649"/>
    <w:rsid w:val="00063A2B"/>
    <w:rsid w:val="000664CC"/>
    <w:rsid w:val="00070D1E"/>
    <w:rsid w:val="00072A3E"/>
    <w:rsid w:val="00072B79"/>
    <w:rsid w:val="000735BB"/>
    <w:rsid w:val="00075DCB"/>
    <w:rsid w:val="00076F66"/>
    <w:rsid w:val="00080539"/>
    <w:rsid w:val="00081511"/>
    <w:rsid w:val="000817EA"/>
    <w:rsid w:val="00082BD3"/>
    <w:rsid w:val="00083ACB"/>
    <w:rsid w:val="00083C59"/>
    <w:rsid w:val="00083E21"/>
    <w:rsid w:val="00085C68"/>
    <w:rsid w:val="00085DA6"/>
    <w:rsid w:val="00086D9E"/>
    <w:rsid w:val="000872CF"/>
    <w:rsid w:val="00090AE8"/>
    <w:rsid w:val="0009216F"/>
    <w:rsid w:val="000923A1"/>
    <w:rsid w:val="00092A74"/>
    <w:rsid w:val="0009420A"/>
    <w:rsid w:val="000955DE"/>
    <w:rsid w:val="000957F4"/>
    <w:rsid w:val="00095912"/>
    <w:rsid w:val="00095DF2"/>
    <w:rsid w:val="00096120"/>
    <w:rsid w:val="00097532"/>
    <w:rsid w:val="000A1793"/>
    <w:rsid w:val="000A1BAB"/>
    <w:rsid w:val="000A2BE8"/>
    <w:rsid w:val="000A30D8"/>
    <w:rsid w:val="000A3719"/>
    <w:rsid w:val="000A3739"/>
    <w:rsid w:val="000A59DC"/>
    <w:rsid w:val="000A685D"/>
    <w:rsid w:val="000A6B88"/>
    <w:rsid w:val="000A7A0E"/>
    <w:rsid w:val="000A7FE1"/>
    <w:rsid w:val="000B0BD3"/>
    <w:rsid w:val="000B1AF7"/>
    <w:rsid w:val="000B1DCB"/>
    <w:rsid w:val="000B33C7"/>
    <w:rsid w:val="000B3BE9"/>
    <w:rsid w:val="000B42E3"/>
    <w:rsid w:val="000B5710"/>
    <w:rsid w:val="000B7DD9"/>
    <w:rsid w:val="000C002F"/>
    <w:rsid w:val="000C062C"/>
    <w:rsid w:val="000C16B9"/>
    <w:rsid w:val="000C20E4"/>
    <w:rsid w:val="000C2259"/>
    <w:rsid w:val="000C22FD"/>
    <w:rsid w:val="000C2464"/>
    <w:rsid w:val="000C3194"/>
    <w:rsid w:val="000C3B90"/>
    <w:rsid w:val="000C3DB0"/>
    <w:rsid w:val="000C4D6F"/>
    <w:rsid w:val="000C58C3"/>
    <w:rsid w:val="000C6530"/>
    <w:rsid w:val="000C6C85"/>
    <w:rsid w:val="000D32B5"/>
    <w:rsid w:val="000D64EA"/>
    <w:rsid w:val="000D7BF2"/>
    <w:rsid w:val="000D7C57"/>
    <w:rsid w:val="000E0237"/>
    <w:rsid w:val="000E0E47"/>
    <w:rsid w:val="000E0FB9"/>
    <w:rsid w:val="000E1713"/>
    <w:rsid w:val="000E1CCD"/>
    <w:rsid w:val="000E2EAE"/>
    <w:rsid w:val="000E3058"/>
    <w:rsid w:val="000E33C1"/>
    <w:rsid w:val="000E3936"/>
    <w:rsid w:val="000E42F5"/>
    <w:rsid w:val="000E4591"/>
    <w:rsid w:val="000E4662"/>
    <w:rsid w:val="000E4830"/>
    <w:rsid w:val="000E48E0"/>
    <w:rsid w:val="000E4FDF"/>
    <w:rsid w:val="000E5D00"/>
    <w:rsid w:val="000E7DD8"/>
    <w:rsid w:val="000F1115"/>
    <w:rsid w:val="000F18DF"/>
    <w:rsid w:val="000F1D89"/>
    <w:rsid w:val="000F2621"/>
    <w:rsid w:val="000F33D4"/>
    <w:rsid w:val="000F3411"/>
    <w:rsid w:val="000F3A96"/>
    <w:rsid w:val="000F4269"/>
    <w:rsid w:val="000F46D2"/>
    <w:rsid w:val="000F48A7"/>
    <w:rsid w:val="000F5950"/>
    <w:rsid w:val="000F60A6"/>
    <w:rsid w:val="00100AF6"/>
    <w:rsid w:val="00101002"/>
    <w:rsid w:val="00102CAC"/>
    <w:rsid w:val="00102E3E"/>
    <w:rsid w:val="00103BF1"/>
    <w:rsid w:val="0010461B"/>
    <w:rsid w:val="00105331"/>
    <w:rsid w:val="00105927"/>
    <w:rsid w:val="00105AAE"/>
    <w:rsid w:val="00106D6F"/>
    <w:rsid w:val="00106E51"/>
    <w:rsid w:val="001079F6"/>
    <w:rsid w:val="001079FF"/>
    <w:rsid w:val="0011210C"/>
    <w:rsid w:val="00112725"/>
    <w:rsid w:val="00112B9A"/>
    <w:rsid w:val="001146C2"/>
    <w:rsid w:val="00115EC4"/>
    <w:rsid w:val="00115FF7"/>
    <w:rsid w:val="0011662B"/>
    <w:rsid w:val="001167C7"/>
    <w:rsid w:val="00117A8F"/>
    <w:rsid w:val="00122442"/>
    <w:rsid w:val="001234F2"/>
    <w:rsid w:val="001234F7"/>
    <w:rsid w:val="00124355"/>
    <w:rsid w:val="001243E0"/>
    <w:rsid w:val="001253B9"/>
    <w:rsid w:val="001254D9"/>
    <w:rsid w:val="0012557E"/>
    <w:rsid w:val="00125A52"/>
    <w:rsid w:val="001261D4"/>
    <w:rsid w:val="001265E4"/>
    <w:rsid w:val="00127F9B"/>
    <w:rsid w:val="001309B8"/>
    <w:rsid w:val="001320E9"/>
    <w:rsid w:val="00134151"/>
    <w:rsid w:val="00134344"/>
    <w:rsid w:val="0013507D"/>
    <w:rsid w:val="00135CA6"/>
    <w:rsid w:val="00137D66"/>
    <w:rsid w:val="001416F5"/>
    <w:rsid w:val="00141750"/>
    <w:rsid w:val="001420A7"/>
    <w:rsid w:val="0014665F"/>
    <w:rsid w:val="0014668F"/>
    <w:rsid w:val="00146AFD"/>
    <w:rsid w:val="00146F0C"/>
    <w:rsid w:val="00147A50"/>
    <w:rsid w:val="00147B9E"/>
    <w:rsid w:val="00150A0C"/>
    <w:rsid w:val="00154429"/>
    <w:rsid w:val="001553E9"/>
    <w:rsid w:val="00155C29"/>
    <w:rsid w:val="00156341"/>
    <w:rsid w:val="00156FD9"/>
    <w:rsid w:val="00157163"/>
    <w:rsid w:val="00157BED"/>
    <w:rsid w:val="00160105"/>
    <w:rsid w:val="00160518"/>
    <w:rsid w:val="001619B8"/>
    <w:rsid w:val="00161AFD"/>
    <w:rsid w:val="0016287C"/>
    <w:rsid w:val="0016289F"/>
    <w:rsid w:val="00163892"/>
    <w:rsid w:val="00163BBD"/>
    <w:rsid w:val="00163E01"/>
    <w:rsid w:val="0016438E"/>
    <w:rsid w:val="0016471D"/>
    <w:rsid w:val="001649F9"/>
    <w:rsid w:val="00164FC0"/>
    <w:rsid w:val="00166BC9"/>
    <w:rsid w:val="00166E5D"/>
    <w:rsid w:val="00167D24"/>
    <w:rsid w:val="00170778"/>
    <w:rsid w:val="00170B2D"/>
    <w:rsid w:val="00170CD8"/>
    <w:rsid w:val="0017152E"/>
    <w:rsid w:val="001718FF"/>
    <w:rsid w:val="00171C8D"/>
    <w:rsid w:val="00172A27"/>
    <w:rsid w:val="00174147"/>
    <w:rsid w:val="00174B4E"/>
    <w:rsid w:val="00174B77"/>
    <w:rsid w:val="00180B9F"/>
    <w:rsid w:val="00181110"/>
    <w:rsid w:val="00181AD5"/>
    <w:rsid w:val="001824A8"/>
    <w:rsid w:val="00183463"/>
    <w:rsid w:val="00184FB4"/>
    <w:rsid w:val="001866A3"/>
    <w:rsid w:val="001874DB"/>
    <w:rsid w:val="00191927"/>
    <w:rsid w:val="001936C2"/>
    <w:rsid w:val="00194E56"/>
    <w:rsid w:val="001955CE"/>
    <w:rsid w:val="00196560"/>
    <w:rsid w:val="0019776E"/>
    <w:rsid w:val="001978D8"/>
    <w:rsid w:val="001A0429"/>
    <w:rsid w:val="001A3026"/>
    <w:rsid w:val="001A3BCB"/>
    <w:rsid w:val="001A4D55"/>
    <w:rsid w:val="001A5ACD"/>
    <w:rsid w:val="001A6236"/>
    <w:rsid w:val="001A652A"/>
    <w:rsid w:val="001A7954"/>
    <w:rsid w:val="001B049A"/>
    <w:rsid w:val="001B0C06"/>
    <w:rsid w:val="001B2D1D"/>
    <w:rsid w:val="001B2E4E"/>
    <w:rsid w:val="001B3712"/>
    <w:rsid w:val="001B43B8"/>
    <w:rsid w:val="001B62EE"/>
    <w:rsid w:val="001B651C"/>
    <w:rsid w:val="001C0580"/>
    <w:rsid w:val="001C0A2F"/>
    <w:rsid w:val="001C18EF"/>
    <w:rsid w:val="001C1D3D"/>
    <w:rsid w:val="001C521E"/>
    <w:rsid w:val="001C5FF4"/>
    <w:rsid w:val="001C61AA"/>
    <w:rsid w:val="001C621C"/>
    <w:rsid w:val="001C6FB4"/>
    <w:rsid w:val="001C7528"/>
    <w:rsid w:val="001C7D61"/>
    <w:rsid w:val="001D0CE1"/>
    <w:rsid w:val="001D2121"/>
    <w:rsid w:val="001D2203"/>
    <w:rsid w:val="001D538F"/>
    <w:rsid w:val="001D7A61"/>
    <w:rsid w:val="001D7DDE"/>
    <w:rsid w:val="001D7F6F"/>
    <w:rsid w:val="001E114A"/>
    <w:rsid w:val="001E2497"/>
    <w:rsid w:val="001E2C55"/>
    <w:rsid w:val="001E3714"/>
    <w:rsid w:val="001E3E59"/>
    <w:rsid w:val="001E7572"/>
    <w:rsid w:val="001E777F"/>
    <w:rsid w:val="001E77F9"/>
    <w:rsid w:val="001E7CE6"/>
    <w:rsid w:val="001F0276"/>
    <w:rsid w:val="001F1348"/>
    <w:rsid w:val="001F168B"/>
    <w:rsid w:val="001F277C"/>
    <w:rsid w:val="001F2D22"/>
    <w:rsid w:val="001F32F9"/>
    <w:rsid w:val="001F3D3B"/>
    <w:rsid w:val="001F4E51"/>
    <w:rsid w:val="001F5720"/>
    <w:rsid w:val="001F6189"/>
    <w:rsid w:val="001F74DC"/>
    <w:rsid w:val="00200CF6"/>
    <w:rsid w:val="00201519"/>
    <w:rsid w:val="002038F7"/>
    <w:rsid w:val="00203BC8"/>
    <w:rsid w:val="002040EF"/>
    <w:rsid w:val="002044EF"/>
    <w:rsid w:val="00205060"/>
    <w:rsid w:val="00207332"/>
    <w:rsid w:val="0020795A"/>
    <w:rsid w:val="0021221F"/>
    <w:rsid w:val="002127A1"/>
    <w:rsid w:val="002129DA"/>
    <w:rsid w:val="002164D9"/>
    <w:rsid w:val="00216A7A"/>
    <w:rsid w:val="00216C75"/>
    <w:rsid w:val="00217610"/>
    <w:rsid w:val="0022077A"/>
    <w:rsid w:val="00221A8C"/>
    <w:rsid w:val="002235FF"/>
    <w:rsid w:val="002237F8"/>
    <w:rsid w:val="00223DD6"/>
    <w:rsid w:val="0022517C"/>
    <w:rsid w:val="002253F7"/>
    <w:rsid w:val="00226D73"/>
    <w:rsid w:val="00230895"/>
    <w:rsid w:val="0023159E"/>
    <w:rsid w:val="00231CEA"/>
    <w:rsid w:val="00232478"/>
    <w:rsid w:val="00232DCC"/>
    <w:rsid w:val="002333C2"/>
    <w:rsid w:val="00233CFA"/>
    <w:rsid w:val="00233EE4"/>
    <w:rsid w:val="0023406F"/>
    <w:rsid w:val="00234726"/>
    <w:rsid w:val="00235261"/>
    <w:rsid w:val="002364E6"/>
    <w:rsid w:val="00237101"/>
    <w:rsid w:val="00237CB4"/>
    <w:rsid w:val="0024037F"/>
    <w:rsid w:val="002418EE"/>
    <w:rsid w:val="00241E23"/>
    <w:rsid w:val="00243878"/>
    <w:rsid w:val="00244094"/>
    <w:rsid w:val="002452E4"/>
    <w:rsid w:val="002456DE"/>
    <w:rsid w:val="002467C8"/>
    <w:rsid w:val="00246D0A"/>
    <w:rsid w:val="00246F53"/>
    <w:rsid w:val="00247280"/>
    <w:rsid w:val="00247CE2"/>
    <w:rsid w:val="00247D26"/>
    <w:rsid w:val="002500A2"/>
    <w:rsid w:val="002508CB"/>
    <w:rsid w:val="00251E62"/>
    <w:rsid w:val="00251F5E"/>
    <w:rsid w:val="00254DCF"/>
    <w:rsid w:val="00254F55"/>
    <w:rsid w:val="00256C51"/>
    <w:rsid w:val="00257A59"/>
    <w:rsid w:val="00260F45"/>
    <w:rsid w:val="002611B5"/>
    <w:rsid w:val="00261491"/>
    <w:rsid w:val="002649E0"/>
    <w:rsid w:val="00264D8C"/>
    <w:rsid w:val="00265C25"/>
    <w:rsid w:val="00266DC1"/>
    <w:rsid w:val="0026712C"/>
    <w:rsid w:val="00267D03"/>
    <w:rsid w:val="00270E4B"/>
    <w:rsid w:val="00270FB9"/>
    <w:rsid w:val="00272B32"/>
    <w:rsid w:val="002737F8"/>
    <w:rsid w:val="0027497B"/>
    <w:rsid w:val="0027694B"/>
    <w:rsid w:val="002769DA"/>
    <w:rsid w:val="00277292"/>
    <w:rsid w:val="00277E38"/>
    <w:rsid w:val="00280ACD"/>
    <w:rsid w:val="00280BDF"/>
    <w:rsid w:val="002819B0"/>
    <w:rsid w:val="002829EA"/>
    <w:rsid w:val="00286634"/>
    <w:rsid w:val="0028697B"/>
    <w:rsid w:val="002873C9"/>
    <w:rsid w:val="00287635"/>
    <w:rsid w:val="002908C9"/>
    <w:rsid w:val="002909CE"/>
    <w:rsid w:val="00292865"/>
    <w:rsid w:val="00292CBD"/>
    <w:rsid w:val="00292FB5"/>
    <w:rsid w:val="00293611"/>
    <w:rsid w:val="0029361B"/>
    <w:rsid w:val="00293DC3"/>
    <w:rsid w:val="00295855"/>
    <w:rsid w:val="00295E87"/>
    <w:rsid w:val="002A0182"/>
    <w:rsid w:val="002A06B8"/>
    <w:rsid w:val="002A108D"/>
    <w:rsid w:val="002A24A6"/>
    <w:rsid w:val="002A354F"/>
    <w:rsid w:val="002A3B60"/>
    <w:rsid w:val="002A3E40"/>
    <w:rsid w:val="002A5A59"/>
    <w:rsid w:val="002A605E"/>
    <w:rsid w:val="002A6239"/>
    <w:rsid w:val="002A68BD"/>
    <w:rsid w:val="002A78BA"/>
    <w:rsid w:val="002B005F"/>
    <w:rsid w:val="002B0F6C"/>
    <w:rsid w:val="002B116F"/>
    <w:rsid w:val="002B11A3"/>
    <w:rsid w:val="002B226B"/>
    <w:rsid w:val="002B388E"/>
    <w:rsid w:val="002B4532"/>
    <w:rsid w:val="002B4A1B"/>
    <w:rsid w:val="002B4BB6"/>
    <w:rsid w:val="002B4DB8"/>
    <w:rsid w:val="002B6371"/>
    <w:rsid w:val="002B697A"/>
    <w:rsid w:val="002B6A64"/>
    <w:rsid w:val="002C0005"/>
    <w:rsid w:val="002C1995"/>
    <w:rsid w:val="002C1F90"/>
    <w:rsid w:val="002C210C"/>
    <w:rsid w:val="002C2C69"/>
    <w:rsid w:val="002C2D57"/>
    <w:rsid w:val="002C3F23"/>
    <w:rsid w:val="002C4D0C"/>
    <w:rsid w:val="002C5CB2"/>
    <w:rsid w:val="002C5E51"/>
    <w:rsid w:val="002C66D6"/>
    <w:rsid w:val="002C69B6"/>
    <w:rsid w:val="002C7191"/>
    <w:rsid w:val="002C7366"/>
    <w:rsid w:val="002D0066"/>
    <w:rsid w:val="002D034E"/>
    <w:rsid w:val="002D0B57"/>
    <w:rsid w:val="002D23D1"/>
    <w:rsid w:val="002D26AB"/>
    <w:rsid w:val="002D2821"/>
    <w:rsid w:val="002D4026"/>
    <w:rsid w:val="002D42BB"/>
    <w:rsid w:val="002D43BB"/>
    <w:rsid w:val="002D485A"/>
    <w:rsid w:val="002D4BC8"/>
    <w:rsid w:val="002D54C7"/>
    <w:rsid w:val="002D7904"/>
    <w:rsid w:val="002D7A85"/>
    <w:rsid w:val="002E0008"/>
    <w:rsid w:val="002E04FA"/>
    <w:rsid w:val="002E0AB4"/>
    <w:rsid w:val="002E0B90"/>
    <w:rsid w:val="002E1B42"/>
    <w:rsid w:val="002E1FDD"/>
    <w:rsid w:val="002E4078"/>
    <w:rsid w:val="002E5352"/>
    <w:rsid w:val="002E64E9"/>
    <w:rsid w:val="002E65D3"/>
    <w:rsid w:val="002E6EF5"/>
    <w:rsid w:val="002F1178"/>
    <w:rsid w:val="002F170D"/>
    <w:rsid w:val="002F1B19"/>
    <w:rsid w:val="002F4F3B"/>
    <w:rsid w:val="002F5F81"/>
    <w:rsid w:val="002F72B7"/>
    <w:rsid w:val="00300141"/>
    <w:rsid w:val="003001BE"/>
    <w:rsid w:val="00300C04"/>
    <w:rsid w:val="003025E4"/>
    <w:rsid w:val="00302A96"/>
    <w:rsid w:val="00302EB3"/>
    <w:rsid w:val="00303567"/>
    <w:rsid w:val="00304395"/>
    <w:rsid w:val="0030473F"/>
    <w:rsid w:val="00305F2E"/>
    <w:rsid w:val="00305F77"/>
    <w:rsid w:val="0030606A"/>
    <w:rsid w:val="00306DCB"/>
    <w:rsid w:val="00306E4D"/>
    <w:rsid w:val="003078C5"/>
    <w:rsid w:val="00307942"/>
    <w:rsid w:val="00307F9F"/>
    <w:rsid w:val="00311CCD"/>
    <w:rsid w:val="00312352"/>
    <w:rsid w:val="003131D6"/>
    <w:rsid w:val="0031333C"/>
    <w:rsid w:val="00313F97"/>
    <w:rsid w:val="003146A5"/>
    <w:rsid w:val="00315DC1"/>
    <w:rsid w:val="00316190"/>
    <w:rsid w:val="00316F33"/>
    <w:rsid w:val="00320077"/>
    <w:rsid w:val="0032027E"/>
    <w:rsid w:val="00320D4E"/>
    <w:rsid w:val="0032184D"/>
    <w:rsid w:val="003228F2"/>
    <w:rsid w:val="003247B0"/>
    <w:rsid w:val="00324925"/>
    <w:rsid w:val="0032535A"/>
    <w:rsid w:val="00327286"/>
    <w:rsid w:val="00332FD1"/>
    <w:rsid w:val="003340EE"/>
    <w:rsid w:val="003343D4"/>
    <w:rsid w:val="003343D7"/>
    <w:rsid w:val="00335018"/>
    <w:rsid w:val="00336DCB"/>
    <w:rsid w:val="003371D3"/>
    <w:rsid w:val="00340585"/>
    <w:rsid w:val="00340775"/>
    <w:rsid w:val="00340EB1"/>
    <w:rsid w:val="003410CF"/>
    <w:rsid w:val="00342272"/>
    <w:rsid w:val="00342ABE"/>
    <w:rsid w:val="003446B3"/>
    <w:rsid w:val="00345C7B"/>
    <w:rsid w:val="00345D9C"/>
    <w:rsid w:val="00345DE1"/>
    <w:rsid w:val="003468F9"/>
    <w:rsid w:val="003501A3"/>
    <w:rsid w:val="00351BEE"/>
    <w:rsid w:val="003533A1"/>
    <w:rsid w:val="003539DE"/>
    <w:rsid w:val="00353AF6"/>
    <w:rsid w:val="003541D1"/>
    <w:rsid w:val="00355514"/>
    <w:rsid w:val="0035570F"/>
    <w:rsid w:val="00355C5D"/>
    <w:rsid w:val="003577C8"/>
    <w:rsid w:val="00362482"/>
    <w:rsid w:val="00364811"/>
    <w:rsid w:val="00365411"/>
    <w:rsid w:val="0036568F"/>
    <w:rsid w:val="00365A17"/>
    <w:rsid w:val="00365B86"/>
    <w:rsid w:val="00367A5C"/>
    <w:rsid w:val="0037043A"/>
    <w:rsid w:val="003707E6"/>
    <w:rsid w:val="0037699D"/>
    <w:rsid w:val="00376D79"/>
    <w:rsid w:val="0037750D"/>
    <w:rsid w:val="003776A6"/>
    <w:rsid w:val="00380631"/>
    <w:rsid w:val="00382117"/>
    <w:rsid w:val="00383446"/>
    <w:rsid w:val="0038371D"/>
    <w:rsid w:val="0039037A"/>
    <w:rsid w:val="00390FDD"/>
    <w:rsid w:val="00391D1C"/>
    <w:rsid w:val="00392271"/>
    <w:rsid w:val="003927FC"/>
    <w:rsid w:val="00392B57"/>
    <w:rsid w:val="00392F78"/>
    <w:rsid w:val="00393C23"/>
    <w:rsid w:val="00395299"/>
    <w:rsid w:val="00397453"/>
    <w:rsid w:val="003A0007"/>
    <w:rsid w:val="003A0FB7"/>
    <w:rsid w:val="003A134E"/>
    <w:rsid w:val="003A1EC7"/>
    <w:rsid w:val="003A1F36"/>
    <w:rsid w:val="003A50AC"/>
    <w:rsid w:val="003A604C"/>
    <w:rsid w:val="003A61FE"/>
    <w:rsid w:val="003A68B9"/>
    <w:rsid w:val="003A7AD4"/>
    <w:rsid w:val="003B02E0"/>
    <w:rsid w:val="003B0B41"/>
    <w:rsid w:val="003B1278"/>
    <w:rsid w:val="003B2481"/>
    <w:rsid w:val="003B31A4"/>
    <w:rsid w:val="003B4068"/>
    <w:rsid w:val="003B4827"/>
    <w:rsid w:val="003B4B7F"/>
    <w:rsid w:val="003B57F7"/>
    <w:rsid w:val="003B6937"/>
    <w:rsid w:val="003B7AE0"/>
    <w:rsid w:val="003C103F"/>
    <w:rsid w:val="003C1BB0"/>
    <w:rsid w:val="003C2193"/>
    <w:rsid w:val="003C2270"/>
    <w:rsid w:val="003C426F"/>
    <w:rsid w:val="003C4BB4"/>
    <w:rsid w:val="003D184C"/>
    <w:rsid w:val="003D1F5B"/>
    <w:rsid w:val="003D44FE"/>
    <w:rsid w:val="003D52D0"/>
    <w:rsid w:val="003D65CA"/>
    <w:rsid w:val="003D6D2B"/>
    <w:rsid w:val="003D6D8E"/>
    <w:rsid w:val="003D6E3B"/>
    <w:rsid w:val="003E058B"/>
    <w:rsid w:val="003E0F94"/>
    <w:rsid w:val="003E1412"/>
    <w:rsid w:val="003E1F45"/>
    <w:rsid w:val="003E3E18"/>
    <w:rsid w:val="003E4832"/>
    <w:rsid w:val="003E54A9"/>
    <w:rsid w:val="003E5D49"/>
    <w:rsid w:val="003E5D7C"/>
    <w:rsid w:val="003E608C"/>
    <w:rsid w:val="003E6F64"/>
    <w:rsid w:val="003F3DBD"/>
    <w:rsid w:val="003F4AAD"/>
    <w:rsid w:val="003F536E"/>
    <w:rsid w:val="003F706C"/>
    <w:rsid w:val="003F788D"/>
    <w:rsid w:val="003F7BC1"/>
    <w:rsid w:val="003F7E30"/>
    <w:rsid w:val="004001ED"/>
    <w:rsid w:val="00402FC6"/>
    <w:rsid w:val="00404443"/>
    <w:rsid w:val="0040480D"/>
    <w:rsid w:val="00404885"/>
    <w:rsid w:val="0040533C"/>
    <w:rsid w:val="004053A6"/>
    <w:rsid w:val="00406228"/>
    <w:rsid w:val="00407AB5"/>
    <w:rsid w:val="00407BB9"/>
    <w:rsid w:val="0041130D"/>
    <w:rsid w:val="00411464"/>
    <w:rsid w:val="00412287"/>
    <w:rsid w:val="004140F6"/>
    <w:rsid w:val="00414224"/>
    <w:rsid w:val="004148C7"/>
    <w:rsid w:val="00414A86"/>
    <w:rsid w:val="00414D79"/>
    <w:rsid w:val="00415290"/>
    <w:rsid w:val="00415564"/>
    <w:rsid w:val="00415E41"/>
    <w:rsid w:val="004164D9"/>
    <w:rsid w:val="004204A9"/>
    <w:rsid w:val="00420FFB"/>
    <w:rsid w:val="00421723"/>
    <w:rsid w:val="00421B29"/>
    <w:rsid w:val="004222FF"/>
    <w:rsid w:val="00424E32"/>
    <w:rsid w:val="00425AA3"/>
    <w:rsid w:val="00425BAA"/>
    <w:rsid w:val="00426C2A"/>
    <w:rsid w:val="00427FC5"/>
    <w:rsid w:val="004312AA"/>
    <w:rsid w:val="004323D8"/>
    <w:rsid w:val="0043288B"/>
    <w:rsid w:val="00434794"/>
    <w:rsid w:val="00435271"/>
    <w:rsid w:val="00436A9D"/>
    <w:rsid w:val="00437001"/>
    <w:rsid w:val="00440B09"/>
    <w:rsid w:val="00441938"/>
    <w:rsid w:val="00441BAC"/>
    <w:rsid w:val="004427DD"/>
    <w:rsid w:val="00442FAD"/>
    <w:rsid w:val="0044300A"/>
    <w:rsid w:val="00444C21"/>
    <w:rsid w:val="00445180"/>
    <w:rsid w:val="0044775C"/>
    <w:rsid w:val="0044796E"/>
    <w:rsid w:val="00447B5E"/>
    <w:rsid w:val="0045028F"/>
    <w:rsid w:val="00450CEF"/>
    <w:rsid w:val="0045114B"/>
    <w:rsid w:val="00451462"/>
    <w:rsid w:val="00451BA3"/>
    <w:rsid w:val="00452543"/>
    <w:rsid w:val="0045265A"/>
    <w:rsid w:val="004534A8"/>
    <w:rsid w:val="00453DC5"/>
    <w:rsid w:val="004545FC"/>
    <w:rsid w:val="004559EB"/>
    <w:rsid w:val="00455E7C"/>
    <w:rsid w:val="00456504"/>
    <w:rsid w:val="00456B14"/>
    <w:rsid w:val="0045752D"/>
    <w:rsid w:val="004576C4"/>
    <w:rsid w:val="004604A3"/>
    <w:rsid w:val="004606E2"/>
    <w:rsid w:val="0046116E"/>
    <w:rsid w:val="004621EE"/>
    <w:rsid w:val="004622A5"/>
    <w:rsid w:val="00462F7D"/>
    <w:rsid w:val="00464219"/>
    <w:rsid w:val="004667C1"/>
    <w:rsid w:val="00466F87"/>
    <w:rsid w:val="0047038E"/>
    <w:rsid w:val="00470716"/>
    <w:rsid w:val="00471160"/>
    <w:rsid w:val="00471C24"/>
    <w:rsid w:val="0047207D"/>
    <w:rsid w:val="0047319D"/>
    <w:rsid w:val="0047429D"/>
    <w:rsid w:val="004746C4"/>
    <w:rsid w:val="00476395"/>
    <w:rsid w:val="00481373"/>
    <w:rsid w:val="0048390E"/>
    <w:rsid w:val="004846D1"/>
    <w:rsid w:val="00484B9F"/>
    <w:rsid w:val="00486165"/>
    <w:rsid w:val="004863A5"/>
    <w:rsid w:val="004904E5"/>
    <w:rsid w:val="00490CAB"/>
    <w:rsid w:val="004929DC"/>
    <w:rsid w:val="004930AD"/>
    <w:rsid w:val="0049386F"/>
    <w:rsid w:val="004938FA"/>
    <w:rsid w:val="00493E5E"/>
    <w:rsid w:val="00494204"/>
    <w:rsid w:val="00494345"/>
    <w:rsid w:val="00494A5A"/>
    <w:rsid w:val="00495548"/>
    <w:rsid w:val="00495C05"/>
    <w:rsid w:val="00497700"/>
    <w:rsid w:val="004A0DAD"/>
    <w:rsid w:val="004A180B"/>
    <w:rsid w:val="004A2933"/>
    <w:rsid w:val="004A653D"/>
    <w:rsid w:val="004A692E"/>
    <w:rsid w:val="004A6DD7"/>
    <w:rsid w:val="004B09E6"/>
    <w:rsid w:val="004B0E4E"/>
    <w:rsid w:val="004B0F12"/>
    <w:rsid w:val="004B1A58"/>
    <w:rsid w:val="004B2450"/>
    <w:rsid w:val="004B27CA"/>
    <w:rsid w:val="004B2DF3"/>
    <w:rsid w:val="004B34AC"/>
    <w:rsid w:val="004B51D9"/>
    <w:rsid w:val="004B56D2"/>
    <w:rsid w:val="004B59CA"/>
    <w:rsid w:val="004B5F08"/>
    <w:rsid w:val="004B67AF"/>
    <w:rsid w:val="004B76B3"/>
    <w:rsid w:val="004B7CA8"/>
    <w:rsid w:val="004C013F"/>
    <w:rsid w:val="004C01AF"/>
    <w:rsid w:val="004C02F3"/>
    <w:rsid w:val="004C0BEB"/>
    <w:rsid w:val="004C1790"/>
    <w:rsid w:val="004C1859"/>
    <w:rsid w:val="004C1988"/>
    <w:rsid w:val="004C2793"/>
    <w:rsid w:val="004C2C80"/>
    <w:rsid w:val="004C3A87"/>
    <w:rsid w:val="004C56FF"/>
    <w:rsid w:val="004C6370"/>
    <w:rsid w:val="004C69BC"/>
    <w:rsid w:val="004C6CBD"/>
    <w:rsid w:val="004C7686"/>
    <w:rsid w:val="004D1075"/>
    <w:rsid w:val="004D1410"/>
    <w:rsid w:val="004D1923"/>
    <w:rsid w:val="004D2762"/>
    <w:rsid w:val="004D3705"/>
    <w:rsid w:val="004D3C32"/>
    <w:rsid w:val="004D4698"/>
    <w:rsid w:val="004D48B9"/>
    <w:rsid w:val="004D7427"/>
    <w:rsid w:val="004E0A6F"/>
    <w:rsid w:val="004E1F08"/>
    <w:rsid w:val="004E2005"/>
    <w:rsid w:val="004E2E8B"/>
    <w:rsid w:val="004E518D"/>
    <w:rsid w:val="004E5A5E"/>
    <w:rsid w:val="004E5E4B"/>
    <w:rsid w:val="004E6910"/>
    <w:rsid w:val="004E70D5"/>
    <w:rsid w:val="004F055B"/>
    <w:rsid w:val="004F0C58"/>
    <w:rsid w:val="004F128C"/>
    <w:rsid w:val="004F1349"/>
    <w:rsid w:val="004F15D8"/>
    <w:rsid w:val="004F197C"/>
    <w:rsid w:val="004F221E"/>
    <w:rsid w:val="004F3468"/>
    <w:rsid w:val="004F472B"/>
    <w:rsid w:val="004F4B6C"/>
    <w:rsid w:val="004F4E01"/>
    <w:rsid w:val="004F514C"/>
    <w:rsid w:val="004F5271"/>
    <w:rsid w:val="004F5671"/>
    <w:rsid w:val="004F56EF"/>
    <w:rsid w:val="004F5C37"/>
    <w:rsid w:val="00501692"/>
    <w:rsid w:val="00502307"/>
    <w:rsid w:val="00504C4D"/>
    <w:rsid w:val="0051009C"/>
    <w:rsid w:val="00511831"/>
    <w:rsid w:val="00514F2E"/>
    <w:rsid w:val="00515791"/>
    <w:rsid w:val="0052089B"/>
    <w:rsid w:val="0052161E"/>
    <w:rsid w:val="0052240F"/>
    <w:rsid w:val="0052279A"/>
    <w:rsid w:val="00526E43"/>
    <w:rsid w:val="0053045A"/>
    <w:rsid w:val="00530C47"/>
    <w:rsid w:val="00531BEB"/>
    <w:rsid w:val="0053377D"/>
    <w:rsid w:val="005337C8"/>
    <w:rsid w:val="005348FF"/>
    <w:rsid w:val="00536009"/>
    <w:rsid w:val="00536C87"/>
    <w:rsid w:val="00537143"/>
    <w:rsid w:val="00537C60"/>
    <w:rsid w:val="00541A03"/>
    <w:rsid w:val="00541AEA"/>
    <w:rsid w:val="00542200"/>
    <w:rsid w:val="00542A69"/>
    <w:rsid w:val="00545637"/>
    <w:rsid w:val="005472A4"/>
    <w:rsid w:val="00547C55"/>
    <w:rsid w:val="00551455"/>
    <w:rsid w:val="00552D41"/>
    <w:rsid w:val="005546EC"/>
    <w:rsid w:val="005555A1"/>
    <w:rsid w:val="005557A5"/>
    <w:rsid w:val="005557FE"/>
    <w:rsid w:val="0055608B"/>
    <w:rsid w:val="00556208"/>
    <w:rsid w:val="005563C3"/>
    <w:rsid w:val="00556B1C"/>
    <w:rsid w:val="0056043F"/>
    <w:rsid w:val="00560ABD"/>
    <w:rsid w:val="00560CCA"/>
    <w:rsid w:val="00562099"/>
    <w:rsid w:val="00562A01"/>
    <w:rsid w:val="00562DF7"/>
    <w:rsid w:val="00562F88"/>
    <w:rsid w:val="00563306"/>
    <w:rsid w:val="00563438"/>
    <w:rsid w:val="005636BF"/>
    <w:rsid w:val="0056481F"/>
    <w:rsid w:val="00565A71"/>
    <w:rsid w:val="00566109"/>
    <w:rsid w:val="00566949"/>
    <w:rsid w:val="00566B65"/>
    <w:rsid w:val="00567EC3"/>
    <w:rsid w:val="00567F13"/>
    <w:rsid w:val="0057035B"/>
    <w:rsid w:val="00570362"/>
    <w:rsid w:val="00570D96"/>
    <w:rsid w:val="00571D75"/>
    <w:rsid w:val="00572909"/>
    <w:rsid w:val="00572F22"/>
    <w:rsid w:val="00574471"/>
    <w:rsid w:val="00575046"/>
    <w:rsid w:val="00575700"/>
    <w:rsid w:val="005757CC"/>
    <w:rsid w:val="00575F9B"/>
    <w:rsid w:val="00577051"/>
    <w:rsid w:val="005770DB"/>
    <w:rsid w:val="00577801"/>
    <w:rsid w:val="00580FA8"/>
    <w:rsid w:val="00583A00"/>
    <w:rsid w:val="005844BD"/>
    <w:rsid w:val="00584D2A"/>
    <w:rsid w:val="005852EE"/>
    <w:rsid w:val="0058587C"/>
    <w:rsid w:val="00585CDE"/>
    <w:rsid w:val="00586A11"/>
    <w:rsid w:val="005871E2"/>
    <w:rsid w:val="00587EA3"/>
    <w:rsid w:val="00587EF6"/>
    <w:rsid w:val="00591485"/>
    <w:rsid w:val="00591801"/>
    <w:rsid w:val="00591993"/>
    <w:rsid w:val="00592B56"/>
    <w:rsid w:val="00593744"/>
    <w:rsid w:val="0059535F"/>
    <w:rsid w:val="005954A7"/>
    <w:rsid w:val="00595997"/>
    <w:rsid w:val="00595BEE"/>
    <w:rsid w:val="005A0E46"/>
    <w:rsid w:val="005A1C9B"/>
    <w:rsid w:val="005A2F0E"/>
    <w:rsid w:val="005A3825"/>
    <w:rsid w:val="005A40F9"/>
    <w:rsid w:val="005A45AB"/>
    <w:rsid w:val="005A4AFE"/>
    <w:rsid w:val="005A5202"/>
    <w:rsid w:val="005A6CDB"/>
    <w:rsid w:val="005A7DEE"/>
    <w:rsid w:val="005B0D3C"/>
    <w:rsid w:val="005B1127"/>
    <w:rsid w:val="005B1900"/>
    <w:rsid w:val="005B50EF"/>
    <w:rsid w:val="005B646B"/>
    <w:rsid w:val="005B669C"/>
    <w:rsid w:val="005B7205"/>
    <w:rsid w:val="005C006C"/>
    <w:rsid w:val="005C103C"/>
    <w:rsid w:val="005C1258"/>
    <w:rsid w:val="005C1E1E"/>
    <w:rsid w:val="005C282F"/>
    <w:rsid w:val="005C31E3"/>
    <w:rsid w:val="005C32CB"/>
    <w:rsid w:val="005C4F27"/>
    <w:rsid w:val="005C7533"/>
    <w:rsid w:val="005C7C3F"/>
    <w:rsid w:val="005D0150"/>
    <w:rsid w:val="005D025C"/>
    <w:rsid w:val="005D20A9"/>
    <w:rsid w:val="005D25EB"/>
    <w:rsid w:val="005D28DE"/>
    <w:rsid w:val="005D4142"/>
    <w:rsid w:val="005D4C02"/>
    <w:rsid w:val="005D502C"/>
    <w:rsid w:val="005D6FA2"/>
    <w:rsid w:val="005D702B"/>
    <w:rsid w:val="005D7B30"/>
    <w:rsid w:val="005E0CDE"/>
    <w:rsid w:val="005E188B"/>
    <w:rsid w:val="005E20C4"/>
    <w:rsid w:val="005E30E2"/>
    <w:rsid w:val="005E36E5"/>
    <w:rsid w:val="005E3F9A"/>
    <w:rsid w:val="005E49AD"/>
    <w:rsid w:val="005E4CA1"/>
    <w:rsid w:val="005E4F52"/>
    <w:rsid w:val="005E58E3"/>
    <w:rsid w:val="005F016D"/>
    <w:rsid w:val="005F0738"/>
    <w:rsid w:val="005F10E9"/>
    <w:rsid w:val="005F1DAF"/>
    <w:rsid w:val="005F2DF4"/>
    <w:rsid w:val="005F3224"/>
    <w:rsid w:val="005F3892"/>
    <w:rsid w:val="005F3E11"/>
    <w:rsid w:val="005F6577"/>
    <w:rsid w:val="005F7203"/>
    <w:rsid w:val="005F7EE6"/>
    <w:rsid w:val="0060010E"/>
    <w:rsid w:val="006003A8"/>
    <w:rsid w:val="006004E5"/>
    <w:rsid w:val="00600D40"/>
    <w:rsid w:val="006010F7"/>
    <w:rsid w:val="006032EF"/>
    <w:rsid w:val="006038C1"/>
    <w:rsid w:val="00603E00"/>
    <w:rsid w:val="00603E75"/>
    <w:rsid w:val="006057A5"/>
    <w:rsid w:val="00605E28"/>
    <w:rsid w:val="00607FF1"/>
    <w:rsid w:val="006117C3"/>
    <w:rsid w:val="00611F46"/>
    <w:rsid w:val="00612BBE"/>
    <w:rsid w:val="00612CCB"/>
    <w:rsid w:val="00613033"/>
    <w:rsid w:val="00614721"/>
    <w:rsid w:val="0061553B"/>
    <w:rsid w:val="0061575D"/>
    <w:rsid w:val="006164A4"/>
    <w:rsid w:val="0061656E"/>
    <w:rsid w:val="00617A75"/>
    <w:rsid w:val="00620B28"/>
    <w:rsid w:val="006211D3"/>
    <w:rsid w:val="0062315C"/>
    <w:rsid w:val="00625969"/>
    <w:rsid w:val="00625AD1"/>
    <w:rsid w:val="00625E8B"/>
    <w:rsid w:val="00626201"/>
    <w:rsid w:val="00630FE9"/>
    <w:rsid w:val="006315E4"/>
    <w:rsid w:val="00633664"/>
    <w:rsid w:val="0063409F"/>
    <w:rsid w:val="00634CD7"/>
    <w:rsid w:val="0063736F"/>
    <w:rsid w:val="00640EA2"/>
    <w:rsid w:val="006419CC"/>
    <w:rsid w:val="00641DB6"/>
    <w:rsid w:val="00642026"/>
    <w:rsid w:val="006424CE"/>
    <w:rsid w:val="00642D2A"/>
    <w:rsid w:val="0064374C"/>
    <w:rsid w:val="00643A85"/>
    <w:rsid w:val="0064420D"/>
    <w:rsid w:val="00644E2C"/>
    <w:rsid w:val="00646956"/>
    <w:rsid w:val="00646B86"/>
    <w:rsid w:val="00647143"/>
    <w:rsid w:val="006472AD"/>
    <w:rsid w:val="006473FB"/>
    <w:rsid w:val="006477E9"/>
    <w:rsid w:val="00647C5C"/>
    <w:rsid w:val="006501E9"/>
    <w:rsid w:val="0065071E"/>
    <w:rsid w:val="00651352"/>
    <w:rsid w:val="00652560"/>
    <w:rsid w:val="00652B2D"/>
    <w:rsid w:val="0066010B"/>
    <w:rsid w:val="00660590"/>
    <w:rsid w:val="006656B6"/>
    <w:rsid w:val="00665FCD"/>
    <w:rsid w:val="00665FFF"/>
    <w:rsid w:val="0066729C"/>
    <w:rsid w:val="0067271B"/>
    <w:rsid w:val="00673254"/>
    <w:rsid w:val="0067465F"/>
    <w:rsid w:val="00675DB7"/>
    <w:rsid w:val="00676BC9"/>
    <w:rsid w:val="00680D26"/>
    <w:rsid w:val="0068118D"/>
    <w:rsid w:val="00681A91"/>
    <w:rsid w:val="00682A19"/>
    <w:rsid w:val="00684D46"/>
    <w:rsid w:val="006861B3"/>
    <w:rsid w:val="0068702A"/>
    <w:rsid w:val="00687419"/>
    <w:rsid w:val="00690321"/>
    <w:rsid w:val="00691D55"/>
    <w:rsid w:val="006923D2"/>
    <w:rsid w:val="0069258F"/>
    <w:rsid w:val="0069489D"/>
    <w:rsid w:val="00694C04"/>
    <w:rsid w:val="006956CD"/>
    <w:rsid w:val="00695BE5"/>
    <w:rsid w:val="00695CB7"/>
    <w:rsid w:val="0069789F"/>
    <w:rsid w:val="006A17A3"/>
    <w:rsid w:val="006A20CF"/>
    <w:rsid w:val="006A3005"/>
    <w:rsid w:val="006A3B34"/>
    <w:rsid w:val="006A425D"/>
    <w:rsid w:val="006A43BE"/>
    <w:rsid w:val="006A4923"/>
    <w:rsid w:val="006A4E3D"/>
    <w:rsid w:val="006A6189"/>
    <w:rsid w:val="006A6642"/>
    <w:rsid w:val="006A7882"/>
    <w:rsid w:val="006B1772"/>
    <w:rsid w:val="006B34C6"/>
    <w:rsid w:val="006B355F"/>
    <w:rsid w:val="006B4C9F"/>
    <w:rsid w:val="006B5F58"/>
    <w:rsid w:val="006B62E0"/>
    <w:rsid w:val="006B78D6"/>
    <w:rsid w:val="006C0454"/>
    <w:rsid w:val="006C1F16"/>
    <w:rsid w:val="006C2046"/>
    <w:rsid w:val="006C2A67"/>
    <w:rsid w:val="006C2DA9"/>
    <w:rsid w:val="006C34CC"/>
    <w:rsid w:val="006C40BD"/>
    <w:rsid w:val="006C5BC6"/>
    <w:rsid w:val="006C6400"/>
    <w:rsid w:val="006D138E"/>
    <w:rsid w:val="006D2166"/>
    <w:rsid w:val="006D28DE"/>
    <w:rsid w:val="006D2A5D"/>
    <w:rsid w:val="006D361C"/>
    <w:rsid w:val="006D6E79"/>
    <w:rsid w:val="006D725F"/>
    <w:rsid w:val="006E035F"/>
    <w:rsid w:val="006E18E3"/>
    <w:rsid w:val="006E198D"/>
    <w:rsid w:val="006E1C0D"/>
    <w:rsid w:val="006E385A"/>
    <w:rsid w:val="006E502B"/>
    <w:rsid w:val="006E5A6A"/>
    <w:rsid w:val="006E5ECD"/>
    <w:rsid w:val="006E61D4"/>
    <w:rsid w:val="006E7338"/>
    <w:rsid w:val="006E7724"/>
    <w:rsid w:val="006F14EA"/>
    <w:rsid w:val="006F2FD2"/>
    <w:rsid w:val="006F35D2"/>
    <w:rsid w:val="006F381A"/>
    <w:rsid w:val="006F3B60"/>
    <w:rsid w:val="006F412B"/>
    <w:rsid w:val="006F462A"/>
    <w:rsid w:val="006F486D"/>
    <w:rsid w:val="006F555C"/>
    <w:rsid w:val="006F56E3"/>
    <w:rsid w:val="006F696F"/>
    <w:rsid w:val="006F76FC"/>
    <w:rsid w:val="006F7D9D"/>
    <w:rsid w:val="00702204"/>
    <w:rsid w:val="00702B6C"/>
    <w:rsid w:val="00703A67"/>
    <w:rsid w:val="007045B9"/>
    <w:rsid w:val="007051DE"/>
    <w:rsid w:val="00707EE9"/>
    <w:rsid w:val="00711A7E"/>
    <w:rsid w:val="00712EA6"/>
    <w:rsid w:val="00715026"/>
    <w:rsid w:val="00715D59"/>
    <w:rsid w:val="007168AA"/>
    <w:rsid w:val="007178AF"/>
    <w:rsid w:val="007207E1"/>
    <w:rsid w:val="00720F28"/>
    <w:rsid w:val="00721392"/>
    <w:rsid w:val="00721BC0"/>
    <w:rsid w:val="00721CE4"/>
    <w:rsid w:val="007231DE"/>
    <w:rsid w:val="00723A03"/>
    <w:rsid w:val="007240ED"/>
    <w:rsid w:val="00724369"/>
    <w:rsid w:val="00724DE9"/>
    <w:rsid w:val="0072603D"/>
    <w:rsid w:val="00726B4E"/>
    <w:rsid w:val="00726CA6"/>
    <w:rsid w:val="007302E4"/>
    <w:rsid w:val="007311C2"/>
    <w:rsid w:val="007313A1"/>
    <w:rsid w:val="00731CB5"/>
    <w:rsid w:val="007342AD"/>
    <w:rsid w:val="007371C3"/>
    <w:rsid w:val="007411DC"/>
    <w:rsid w:val="00743017"/>
    <w:rsid w:val="00743891"/>
    <w:rsid w:val="00743B6E"/>
    <w:rsid w:val="00744187"/>
    <w:rsid w:val="007443D1"/>
    <w:rsid w:val="007444EA"/>
    <w:rsid w:val="007449C5"/>
    <w:rsid w:val="00744B09"/>
    <w:rsid w:val="00745082"/>
    <w:rsid w:val="00746812"/>
    <w:rsid w:val="007512AF"/>
    <w:rsid w:val="0075271A"/>
    <w:rsid w:val="00753371"/>
    <w:rsid w:val="00753F09"/>
    <w:rsid w:val="00755A16"/>
    <w:rsid w:val="00756C6C"/>
    <w:rsid w:val="00756DDD"/>
    <w:rsid w:val="00757718"/>
    <w:rsid w:val="00760AE9"/>
    <w:rsid w:val="00760FB0"/>
    <w:rsid w:val="00761677"/>
    <w:rsid w:val="00761A64"/>
    <w:rsid w:val="00762CA0"/>
    <w:rsid w:val="0076362D"/>
    <w:rsid w:val="00764C94"/>
    <w:rsid w:val="0076501E"/>
    <w:rsid w:val="0076537E"/>
    <w:rsid w:val="00765475"/>
    <w:rsid w:val="007669DC"/>
    <w:rsid w:val="007678F5"/>
    <w:rsid w:val="0076797C"/>
    <w:rsid w:val="007702A4"/>
    <w:rsid w:val="00770D72"/>
    <w:rsid w:val="00770E9C"/>
    <w:rsid w:val="00771668"/>
    <w:rsid w:val="00771CCD"/>
    <w:rsid w:val="007738F3"/>
    <w:rsid w:val="007751C4"/>
    <w:rsid w:val="00776222"/>
    <w:rsid w:val="007773FD"/>
    <w:rsid w:val="00781FF5"/>
    <w:rsid w:val="00783A77"/>
    <w:rsid w:val="007843C6"/>
    <w:rsid w:val="007850E6"/>
    <w:rsid w:val="00785CAB"/>
    <w:rsid w:val="007864CE"/>
    <w:rsid w:val="00786640"/>
    <w:rsid w:val="00790A1A"/>
    <w:rsid w:val="00790CB7"/>
    <w:rsid w:val="00791F1C"/>
    <w:rsid w:val="00793D9E"/>
    <w:rsid w:val="0079410B"/>
    <w:rsid w:val="0079770A"/>
    <w:rsid w:val="007A017B"/>
    <w:rsid w:val="007A07EF"/>
    <w:rsid w:val="007A17DE"/>
    <w:rsid w:val="007A1BFF"/>
    <w:rsid w:val="007A1E80"/>
    <w:rsid w:val="007A2477"/>
    <w:rsid w:val="007A3047"/>
    <w:rsid w:val="007A417E"/>
    <w:rsid w:val="007A43FD"/>
    <w:rsid w:val="007A48AB"/>
    <w:rsid w:val="007A5D64"/>
    <w:rsid w:val="007A71E3"/>
    <w:rsid w:val="007A76A8"/>
    <w:rsid w:val="007A7EEC"/>
    <w:rsid w:val="007B0A5C"/>
    <w:rsid w:val="007B1E32"/>
    <w:rsid w:val="007B50AD"/>
    <w:rsid w:val="007C06A4"/>
    <w:rsid w:val="007C0B94"/>
    <w:rsid w:val="007C1813"/>
    <w:rsid w:val="007C21CA"/>
    <w:rsid w:val="007C2867"/>
    <w:rsid w:val="007C2BAE"/>
    <w:rsid w:val="007C3224"/>
    <w:rsid w:val="007C36C7"/>
    <w:rsid w:val="007C3CDE"/>
    <w:rsid w:val="007C43EF"/>
    <w:rsid w:val="007C4B7C"/>
    <w:rsid w:val="007C6A42"/>
    <w:rsid w:val="007C6D48"/>
    <w:rsid w:val="007C70A0"/>
    <w:rsid w:val="007C72E4"/>
    <w:rsid w:val="007D0E60"/>
    <w:rsid w:val="007D0F0E"/>
    <w:rsid w:val="007D22B6"/>
    <w:rsid w:val="007D24E9"/>
    <w:rsid w:val="007D3DEC"/>
    <w:rsid w:val="007D4E59"/>
    <w:rsid w:val="007D4EC1"/>
    <w:rsid w:val="007D5831"/>
    <w:rsid w:val="007D6289"/>
    <w:rsid w:val="007E085B"/>
    <w:rsid w:val="007E31E7"/>
    <w:rsid w:val="007E31FF"/>
    <w:rsid w:val="007E356B"/>
    <w:rsid w:val="007E6426"/>
    <w:rsid w:val="007F1500"/>
    <w:rsid w:val="007F1681"/>
    <w:rsid w:val="007F1B31"/>
    <w:rsid w:val="007F24EE"/>
    <w:rsid w:val="007F336A"/>
    <w:rsid w:val="007F3995"/>
    <w:rsid w:val="007F56B2"/>
    <w:rsid w:val="007F5EB6"/>
    <w:rsid w:val="007F6622"/>
    <w:rsid w:val="007F74D8"/>
    <w:rsid w:val="007F7AC0"/>
    <w:rsid w:val="007F7B27"/>
    <w:rsid w:val="007F7CF5"/>
    <w:rsid w:val="007F7E63"/>
    <w:rsid w:val="007F7F3A"/>
    <w:rsid w:val="008010F7"/>
    <w:rsid w:val="00801312"/>
    <w:rsid w:val="00801586"/>
    <w:rsid w:val="00802F3B"/>
    <w:rsid w:val="00804D87"/>
    <w:rsid w:val="00805B3F"/>
    <w:rsid w:val="00807084"/>
    <w:rsid w:val="00807929"/>
    <w:rsid w:val="00807A70"/>
    <w:rsid w:val="00807F34"/>
    <w:rsid w:val="00810550"/>
    <w:rsid w:val="00812675"/>
    <w:rsid w:val="008131A0"/>
    <w:rsid w:val="00813759"/>
    <w:rsid w:val="00815021"/>
    <w:rsid w:val="00815730"/>
    <w:rsid w:val="0081616B"/>
    <w:rsid w:val="00816273"/>
    <w:rsid w:val="008169CE"/>
    <w:rsid w:val="00816E52"/>
    <w:rsid w:val="00817BDD"/>
    <w:rsid w:val="00821BF6"/>
    <w:rsid w:val="00822F3B"/>
    <w:rsid w:val="00823C36"/>
    <w:rsid w:val="00824E93"/>
    <w:rsid w:val="00825011"/>
    <w:rsid w:val="00825405"/>
    <w:rsid w:val="008262E2"/>
    <w:rsid w:val="00826C74"/>
    <w:rsid w:val="0082715F"/>
    <w:rsid w:val="00827479"/>
    <w:rsid w:val="0082783E"/>
    <w:rsid w:val="00830487"/>
    <w:rsid w:val="0083386E"/>
    <w:rsid w:val="00834686"/>
    <w:rsid w:val="00834DE9"/>
    <w:rsid w:val="00834E25"/>
    <w:rsid w:val="008363DE"/>
    <w:rsid w:val="0083692F"/>
    <w:rsid w:val="008371E2"/>
    <w:rsid w:val="00837893"/>
    <w:rsid w:val="00837C5A"/>
    <w:rsid w:val="008401A0"/>
    <w:rsid w:val="00840B14"/>
    <w:rsid w:val="008413CA"/>
    <w:rsid w:val="00841C10"/>
    <w:rsid w:val="00841C75"/>
    <w:rsid w:val="00842FEF"/>
    <w:rsid w:val="00843DC5"/>
    <w:rsid w:val="00845194"/>
    <w:rsid w:val="008452B2"/>
    <w:rsid w:val="00845502"/>
    <w:rsid w:val="008459FD"/>
    <w:rsid w:val="008466EB"/>
    <w:rsid w:val="00846813"/>
    <w:rsid w:val="00847FB3"/>
    <w:rsid w:val="0085121C"/>
    <w:rsid w:val="008559A5"/>
    <w:rsid w:val="00855A30"/>
    <w:rsid w:val="00855B23"/>
    <w:rsid w:val="00856B94"/>
    <w:rsid w:val="00857550"/>
    <w:rsid w:val="0086166B"/>
    <w:rsid w:val="008616D6"/>
    <w:rsid w:val="008629D9"/>
    <w:rsid w:val="00862C55"/>
    <w:rsid w:val="00862E8B"/>
    <w:rsid w:val="008633A0"/>
    <w:rsid w:val="00863787"/>
    <w:rsid w:val="00863B46"/>
    <w:rsid w:val="0086556C"/>
    <w:rsid w:val="00865C9A"/>
    <w:rsid w:val="00865CA7"/>
    <w:rsid w:val="0087011A"/>
    <w:rsid w:val="00874DC9"/>
    <w:rsid w:val="008758F6"/>
    <w:rsid w:val="00877BE1"/>
    <w:rsid w:val="008809B0"/>
    <w:rsid w:val="0088150B"/>
    <w:rsid w:val="008819E9"/>
    <w:rsid w:val="00881EB1"/>
    <w:rsid w:val="00882FE6"/>
    <w:rsid w:val="00883038"/>
    <w:rsid w:val="00883838"/>
    <w:rsid w:val="0088439F"/>
    <w:rsid w:val="00884BC0"/>
    <w:rsid w:val="00886138"/>
    <w:rsid w:val="00887658"/>
    <w:rsid w:val="00890039"/>
    <w:rsid w:val="00890294"/>
    <w:rsid w:val="0089106E"/>
    <w:rsid w:val="00892958"/>
    <w:rsid w:val="00893252"/>
    <w:rsid w:val="008947C5"/>
    <w:rsid w:val="00895ADB"/>
    <w:rsid w:val="008A0562"/>
    <w:rsid w:val="008A0E98"/>
    <w:rsid w:val="008A1202"/>
    <w:rsid w:val="008A1E55"/>
    <w:rsid w:val="008A1E6C"/>
    <w:rsid w:val="008A38B2"/>
    <w:rsid w:val="008A3A5A"/>
    <w:rsid w:val="008A3A67"/>
    <w:rsid w:val="008A3A96"/>
    <w:rsid w:val="008A3B51"/>
    <w:rsid w:val="008A577A"/>
    <w:rsid w:val="008A6752"/>
    <w:rsid w:val="008A69B5"/>
    <w:rsid w:val="008A6EBD"/>
    <w:rsid w:val="008B0711"/>
    <w:rsid w:val="008B1191"/>
    <w:rsid w:val="008B2096"/>
    <w:rsid w:val="008B3413"/>
    <w:rsid w:val="008B42FD"/>
    <w:rsid w:val="008B514E"/>
    <w:rsid w:val="008B6076"/>
    <w:rsid w:val="008B62F0"/>
    <w:rsid w:val="008B6923"/>
    <w:rsid w:val="008B71AA"/>
    <w:rsid w:val="008B77A7"/>
    <w:rsid w:val="008B7C17"/>
    <w:rsid w:val="008C039D"/>
    <w:rsid w:val="008C0601"/>
    <w:rsid w:val="008C0D1B"/>
    <w:rsid w:val="008C13AE"/>
    <w:rsid w:val="008C225D"/>
    <w:rsid w:val="008C2B30"/>
    <w:rsid w:val="008C4594"/>
    <w:rsid w:val="008C5B66"/>
    <w:rsid w:val="008C5FFE"/>
    <w:rsid w:val="008C6E9E"/>
    <w:rsid w:val="008C7066"/>
    <w:rsid w:val="008C765E"/>
    <w:rsid w:val="008C7CC5"/>
    <w:rsid w:val="008C7F9F"/>
    <w:rsid w:val="008D0B4B"/>
    <w:rsid w:val="008D1144"/>
    <w:rsid w:val="008D1284"/>
    <w:rsid w:val="008D2EA6"/>
    <w:rsid w:val="008D369F"/>
    <w:rsid w:val="008D3A5A"/>
    <w:rsid w:val="008D4346"/>
    <w:rsid w:val="008D5F3B"/>
    <w:rsid w:val="008D7F2A"/>
    <w:rsid w:val="008E0AC9"/>
    <w:rsid w:val="008E1239"/>
    <w:rsid w:val="008E1619"/>
    <w:rsid w:val="008E2480"/>
    <w:rsid w:val="008E31CE"/>
    <w:rsid w:val="008E354B"/>
    <w:rsid w:val="008E38CC"/>
    <w:rsid w:val="008E3A65"/>
    <w:rsid w:val="008E3A99"/>
    <w:rsid w:val="008E3C6C"/>
    <w:rsid w:val="008E4A92"/>
    <w:rsid w:val="008E51E2"/>
    <w:rsid w:val="008E5F37"/>
    <w:rsid w:val="008E71CD"/>
    <w:rsid w:val="008F0449"/>
    <w:rsid w:val="008F04E9"/>
    <w:rsid w:val="008F079B"/>
    <w:rsid w:val="008F1ED2"/>
    <w:rsid w:val="008F213B"/>
    <w:rsid w:val="008F26B4"/>
    <w:rsid w:val="008F2F7D"/>
    <w:rsid w:val="008F3250"/>
    <w:rsid w:val="008F3632"/>
    <w:rsid w:val="008F47D0"/>
    <w:rsid w:val="008F536D"/>
    <w:rsid w:val="008F5740"/>
    <w:rsid w:val="008F6D48"/>
    <w:rsid w:val="008F76F6"/>
    <w:rsid w:val="008F77AD"/>
    <w:rsid w:val="008F7F37"/>
    <w:rsid w:val="008F7FDB"/>
    <w:rsid w:val="009001E7"/>
    <w:rsid w:val="00900497"/>
    <w:rsid w:val="00901E1F"/>
    <w:rsid w:val="00902791"/>
    <w:rsid w:val="00903DA2"/>
    <w:rsid w:val="00903FEF"/>
    <w:rsid w:val="0090440D"/>
    <w:rsid w:val="00905325"/>
    <w:rsid w:val="00905D4C"/>
    <w:rsid w:val="009077BC"/>
    <w:rsid w:val="00910465"/>
    <w:rsid w:val="00910652"/>
    <w:rsid w:val="0091280D"/>
    <w:rsid w:val="00912CB3"/>
    <w:rsid w:val="0091332C"/>
    <w:rsid w:val="0091479D"/>
    <w:rsid w:val="00914E54"/>
    <w:rsid w:val="00914E5E"/>
    <w:rsid w:val="00914E62"/>
    <w:rsid w:val="00915F63"/>
    <w:rsid w:val="009202F5"/>
    <w:rsid w:val="00921FDD"/>
    <w:rsid w:val="00922386"/>
    <w:rsid w:val="009228FF"/>
    <w:rsid w:val="009229CE"/>
    <w:rsid w:val="00924347"/>
    <w:rsid w:val="009259E9"/>
    <w:rsid w:val="009261C3"/>
    <w:rsid w:val="00926797"/>
    <w:rsid w:val="00927B8F"/>
    <w:rsid w:val="00927C38"/>
    <w:rsid w:val="009309C5"/>
    <w:rsid w:val="00931E44"/>
    <w:rsid w:val="00932E2B"/>
    <w:rsid w:val="009344C1"/>
    <w:rsid w:val="0093478D"/>
    <w:rsid w:val="009365B2"/>
    <w:rsid w:val="009365E8"/>
    <w:rsid w:val="009366B3"/>
    <w:rsid w:val="009368FA"/>
    <w:rsid w:val="009413E7"/>
    <w:rsid w:val="00941B06"/>
    <w:rsid w:val="00941FA4"/>
    <w:rsid w:val="00942AFC"/>
    <w:rsid w:val="00943386"/>
    <w:rsid w:val="00943F98"/>
    <w:rsid w:val="009448B2"/>
    <w:rsid w:val="00944B5F"/>
    <w:rsid w:val="009468B8"/>
    <w:rsid w:val="00950BF4"/>
    <w:rsid w:val="00951F78"/>
    <w:rsid w:val="00952579"/>
    <w:rsid w:val="00953624"/>
    <w:rsid w:val="00953BE2"/>
    <w:rsid w:val="00953E17"/>
    <w:rsid w:val="00954DE7"/>
    <w:rsid w:val="00956E98"/>
    <w:rsid w:val="0096086C"/>
    <w:rsid w:val="00960976"/>
    <w:rsid w:val="00960F94"/>
    <w:rsid w:val="00963059"/>
    <w:rsid w:val="0096340C"/>
    <w:rsid w:val="00965497"/>
    <w:rsid w:val="00966B58"/>
    <w:rsid w:val="00970071"/>
    <w:rsid w:val="009702A5"/>
    <w:rsid w:val="00970824"/>
    <w:rsid w:val="00971338"/>
    <w:rsid w:val="009729EE"/>
    <w:rsid w:val="00972B33"/>
    <w:rsid w:val="00972EB2"/>
    <w:rsid w:val="009731DB"/>
    <w:rsid w:val="0097418C"/>
    <w:rsid w:val="009757C1"/>
    <w:rsid w:val="00975903"/>
    <w:rsid w:val="00976025"/>
    <w:rsid w:val="009768CF"/>
    <w:rsid w:val="009808BC"/>
    <w:rsid w:val="009814E4"/>
    <w:rsid w:val="009828CD"/>
    <w:rsid w:val="00983B6F"/>
    <w:rsid w:val="00984379"/>
    <w:rsid w:val="00985337"/>
    <w:rsid w:val="00990215"/>
    <w:rsid w:val="009907EC"/>
    <w:rsid w:val="0099283B"/>
    <w:rsid w:val="009928A9"/>
    <w:rsid w:val="009937EB"/>
    <w:rsid w:val="00993911"/>
    <w:rsid w:val="009951BA"/>
    <w:rsid w:val="0099583D"/>
    <w:rsid w:val="009975F2"/>
    <w:rsid w:val="009A0633"/>
    <w:rsid w:val="009A195C"/>
    <w:rsid w:val="009A2DB1"/>
    <w:rsid w:val="009A497E"/>
    <w:rsid w:val="009A4F89"/>
    <w:rsid w:val="009A590C"/>
    <w:rsid w:val="009A5B96"/>
    <w:rsid w:val="009A678B"/>
    <w:rsid w:val="009A7A4A"/>
    <w:rsid w:val="009B1BA2"/>
    <w:rsid w:val="009B2A99"/>
    <w:rsid w:val="009B2CF4"/>
    <w:rsid w:val="009B38D1"/>
    <w:rsid w:val="009B3A8F"/>
    <w:rsid w:val="009B40F9"/>
    <w:rsid w:val="009B4776"/>
    <w:rsid w:val="009B4A54"/>
    <w:rsid w:val="009B54FA"/>
    <w:rsid w:val="009B783A"/>
    <w:rsid w:val="009C006B"/>
    <w:rsid w:val="009C02D8"/>
    <w:rsid w:val="009C1C74"/>
    <w:rsid w:val="009C1EBD"/>
    <w:rsid w:val="009C2503"/>
    <w:rsid w:val="009C33FA"/>
    <w:rsid w:val="009C38BF"/>
    <w:rsid w:val="009C4510"/>
    <w:rsid w:val="009C48A9"/>
    <w:rsid w:val="009C4A8E"/>
    <w:rsid w:val="009C532D"/>
    <w:rsid w:val="009C6457"/>
    <w:rsid w:val="009C779A"/>
    <w:rsid w:val="009D1876"/>
    <w:rsid w:val="009D3D86"/>
    <w:rsid w:val="009D41C6"/>
    <w:rsid w:val="009D42E2"/>
    <w:rsid w:val="009D5403"/>
    <w:rsid w:val="009D6053"/>
    <w:rsid w:val="009D717B"/>
    <w:rsid w:val="009E00E8"/>
    <w:rsid w:val="009E1E35"/>
    <w:rsid w:val="009E3FC8"/>
    <w:rsid w:val="009E5312"/>
    <w:rsid w:val="009E5611"/>
    <w:rsid w:val="009E674C"/>
    <w:rsid w:val="009E6DEC"/>
    <w:rsid w:val="009E725C"/>
    <w:rsid w:val="009E7CC3"/>
    <w:rsid w:val="009F12D2"/>
    <w:rsid w:val="009F157F"/>
    <w:rsid w:val="009F1661"/>
    <w:rsid w:val="009F2C68"/>
    <w:rsid w:val="009F3293"/>
    <w:rsid w:val="009F3EF7"/>
    <w:rsid w:val="009F5F0B"/>
    <w:rsid w:val="009F76D4"/>
    <w:rsid w:val="00A00AD9"/>
    <w:rsid w:val="00A02766"/>
    <w:rsid w:val="00A02EE2"/>
    <w:rsid w:val="00A03D49"/>
    <w:rsid w:val="00A04120"/>
    <w:rsid w:val="00A0426C"/>
    <w:rsid w:val="00A057BE"/>
    <w:rsid w:val="00A05A46"/>
    <w:rsid w:val="00A06983"/>
    <w:rsid w:val="00A06E18"/>
    <w:rsid w:val="00A0715A"/>
    <w:rsid w:val="00A079DD"/>
    <w:rsid w:val="00A07A84"/>
    <w:rsid w:val="00A10EE5"/>
    <w:rsid w:val="00A11758"/>
    <w:rsid w:val="00A12049"/>
    <w:rsid w:val="00A133E1"/>
    <w:rsid w:val="00A14783"/>
    <w:rsid w:val="00A14EC3"/>
    <w:rsid w:val="00A16484"/>
    <w:rsid w:val="00A16B7E"/>
    <w:rsid w:val="00A17D51"/>
    <w:rsid w:val="00A21B9B"/>
    <w:rsid w:val="00A21D19"/>
    <w:rsid w:val="00A23BAF"/>
    <w:rsid w:val="00A240A3"/>
    <w:rsid w:val="00A2427E"/>
    <w:rsid w:val="00A25AE9"/>
    <w:rsid w:val="00A2605C"/>
    <w:rsid w:val="00A267EE"/>
    <w:rsid w:val="00A26B18"/>
    <w:rsid w:val="00A27C25"/>
    <w:rsid w:val="00A27E4A"/>
    <w:rsid w:val="00A30303"/>
    <w:rsid w:val="00A30DE4"/>
    <w:rsid w:val="00A31C18"/>
    <w:rsid w:val="00A320C3"/>
    <w:rsid w:val="00A32B9E"/>
    <w:rsid w:val="00A32D76"/>
    <w:rsid w:val="00A35197"/>
    <w:rsid w:val="00A351E3"/>
    <w:rsid w:val="00A360EC"/>
    <w:rsid w:val="00A367D6"/>
    <w:rsid w:val="00A36A8A"/>
    <w:rsid w:val="00A37224"/>
    <w:rsid w:val="00A41B43"/>
    <w:rsid w:val="00A427DC"/>
    <w:rsid w:val="00A43849"/>
    <w:rsid w:val="00A4515F"/>
    <w:rsid w:val="00A46284"/>
    <w:rsid w:val="00A47130"/>
    <w:rsid w:val="00A479FE"/>
    <w:rsid w:val="00A50138"/>
    <w:rsid w:val="00A52F7A"/>
    <w:rsid w:val="00A53303"/>
    <w:rsid w:val="00A53763"/>
    <w:rsid w:val="00A53BD4"/>
    <w:rsid w:val="00A542CA"/>
    <w:rsid w:val="00A547AF"/>
    <w:rsid w:val="00A562EB"/>
    <w:rsid w:val="00A57E11"/>
    <w:rsid w:val="00A61239"/>
    <w:rsid w:val="00A622B6"/>
    <w:rsid w:val="00A63542"/>
    <w:rsid w:val="00A645E1"/>
    <w:rsid w:val="00A64871"/>
    <w:rsid w:val="00A64922"/>
    <w:rsid w:val="00A661FA"/>
    <w:rsid w:val="00A670B6"/>
    <w:rsid w:val="00A67142"/>
    <w:rsid w:val="00A679FF"/>
    <w:rsid w:val="00A70862"/>
    <w:rsid w:val="00A727A1"/>
    <w:rsid w:val="00A728B0"/>
    <w:rsid w:val="00A729A8"/>
    <w:rsid w:val="00A72A29"/>
    <w:rsid w:val="00A73A30"/>
    <w:rsid w:val="00A777AC"/>
    <w:rsid w:val="00A77833"/>
    <w:rsid w:val="00A802FC"/>
    <w:rsid w:val="00A811FE"/>
    <w:rsid w:val="00A812F6"/>
    <w:rsid w:val="00A81317"/>
    <w:rsid w:val="00A81392"/>
    <w:rsid w:val="00A81528"/>
    <w:rsid w:val="00A81A4C"/>
    <w:rsid w:val="00A82055"/>
    <w:rsid w:val="00A8215D"/>
    <w:rsid w:val="00A833B8"/>
    <w:rsid w:val="00A83B54"/>
    <w:rsid w:val="00A83B76"/>
    <w:rsid w:val="00A84992"/>
    <w:rsid w:val="00A84B05"/>
    <w:rsid w:val="00A857A7"/>
    <w:rsid w:val="00A8636B"/>
    <w:rsid w:val="00A87382"/>
    <w:rsid w:val="00A90A8A"/>
    <w:rsid w:val="00A9150A"/>
    <w:rsid w:val="00A91ACF"/>
    <w:rsid w:val="00A91E93"/>
    <w:rsid w:val="00A931D7"/>
    <w:rsid w:val="00A9389C"/>
    <w:rsid w:val="00A941FF"/>
    <w:rsid w:val="00A9422D"/>
    <w:rsid w:val="00A94526"/>
    <w:rsid w:val="00A9512C"/>
    <w:rsid w:val="00A95942"/>
    <w:rsid w:val="00A95F45"/>
    <w:rsid w:val="00A9607C"/>
    <w:rsid w:val="00A96BC9"/>
    <w:rsid w:val="00A9730F"/>
    <w:rsid w:val="00A974E3"/>
    <w:rsid w:val="00A976BD"/>
    <w:rsid w:val="00A97DF5"/>
    <w:rsid w:val="00AA021C"/>
    <w:rsid w:val="00AA0510"/>
    <w:rsid w:val="00AA095C"/>
    <w:rsid w:val="00AA18F0"/>
    <w:rsid w:val="00AA2207"/>
    <w:rsid w:val="00AA25C5"/>
    <w:rsid w:val="00AA2CB0"/>
    <w:rsid w:val="00AA34A0"/>
    <w:rsid w:val="00AA385C"/>
    <w:rsid w:val="00AA55C8"/>
    <w:rsid w:val="00AA5B59"/>
    <w:rsid w:val="00AA77B2"/>
    <w:rsid w:val="00AA7858"/>
    <w:rsid w:val="00AA7FBF"/>
    <w:rsid w:val="00AB031B"/>
    <w:rsid w:val="00AB1649"/>
    <w:rsid w:val="00AB2023"/>
    <w:rsid w:val="00AB45E8"/>
    <w:rsid w:val="00AB7141"/>
    <w:rsid w:val="00AB7320"/>
    <w:rsid w:val="00AB78A9"/>
    <w:rsid w:val="00AB7DA1"/>
    <w:rsid w:val="00AC0D53"/>
    <w:rsid w:val="00AC1123"/>
    <w:rsid w:val="00AC1381"/>
    <w:rsid w:val="00AC3400"/>
    <w:rsid w:val="00AC47F3"/>
    <w:rsid w:val="00AC71E4"/>
    <w:rsid w:val="00AC734D"/>
    <w:rsid w:val="00AD1375"/>
    <w:rsid w:val="00AD1732"/>
    <w:rsid w:val="00AD1B29"/>
    <w:rsid w:val="00AD2A3E"/>
    <w:rsid w:val="00AD2CD3"/>
    <w:rsid w:val="00AD2F8B"/>
    <w:rsid w:val="00AD3FCC"/>
    <w:rsid w:val="00AD4F2E"/>
    <w:rsid w:val="00AD59BD"/>
    <w:rsid w:val="00AD64E8"/>
    <w:rsid w:val="00AD656F"/>
    <w:rsid w:val="00AD6753"/>
    <w:rsid w:val="00AD7BAA"/>
    <w:rsid w:val="00AE0972"/>
    <w:rsid w:val="00AE0C34"/>
    <w:rsid w:val="00AE16AB"/>
    <w:rsid w:val="00AE24CF"/>
    <w:rsid w:val="00AE5B33"/>
    <w:rsid w:val="00AE5E54"/>
    <w:rsid w:val="00AE63FB"/>
    <w:rsid w:val="00AE6843"/>
    <w:rsid w:val="00AF18F7"/>
    <w:rsid w:val="00AF1ABC"/>
    <w:rsid w:val="00AF20FB"/>
    <w:rsid w:val="00AF2985"/>
    <w:rsid w:val="00AF46CC"/>
    <w:rsid w:val="00AF4A9C"/>
    <w:rsid w:val="00AF548B"/>
    <w:rsid w:val="00AF58EF"/>
    <w:rsid w:val="00AF621B"/>
    <w:rsid w:val="00AF6839"/>
    <w:rsid w:val="00B00A2E"/>
    <w:rsid w:val="00B01120"/>
    <w:rsid w:val="00B0228A"/>
    <w:rsid w:val="00B02959"/>
    <w:rsid w:val="00B02B8F"/>
    <w:rsid w:val="00B02F9B"/>
    <w:rsid w:val="00B03E82"/>
    <w:rsid w:val="00B06E5C"/>
    <w:rsid w:val="00B07754"/>
    <w:rsid w:val="00B10318"/>
    <w:rsid w:val="00B103EA"/>
    <w:rsid w:val="00B10A6F"/>
    <w:rsid w:val="00B11263"/>
    <w:rsid w:val="00B11644"/>
    <w:rsid w:val="00B12BB1"/>
    <w:rsid w:val="00B134C6"/>
    <w:rsid w:val="00B153D0"/>
    <w:rsid w:val="00B158B6"/>
    <w:rsid w:val="00B162A0"/>
    <w:rsid w:val="00B1638F"/>
    <w:rsid w:val="00B16483"/>
    <w:rsid w:val="00B1752E"/>
    <w:rsid w:val="00B203E9"/>
    <w:rsid w:val="00B20940"/>
    <w:rsid w:val="00B21597"/>
    <w:rsid w:val="00B21667"/>
    <w:rsid w:val="00B21C41"/>
    <w:rsid w:val="00B2231B"/>
    <w:rsid w:val="00B24EDA"/>
    <w:rsid w:val="00B2563F"/>
    <w:rsid w:val="00B25679"/>
    <w:rsid w:val="00B257C5"/>
    <w:rsid w:val="00B26D61"/>
    <w:rsid w:val="00B27B9D"/>
    <w:rsid w:val="00B31E4B"/>
    <w:rsid w:val="00B31F2C"/>
    <w:rsid w:val="00B31FF6"/>
    <w:rsid w:val="00B334C5"/>
    <w:rsid w:val="00B3363F"/>
    <w:rsid w:val="00B34B18"/>
    <w:rsid w:val="00B35632"/>
    <w:rsid w:val="00B36728"/>
    <w:rsid w:val="00B369E1"/>
    <w:rsid w:val="00B36DE3"/>
    <w:rsid w:val="00B37A16"/>
    <w:rsid w:val="00B403BB"/>
    <w:rsid w:val="00B40D6B"/>
    <w:rsid w:val="00B4119E"/>
    <w:rsid w:val="00B415A1"/>
    <w:rsid w:val="00B41883"/>
    <w:rsid w:val="00B4433A"/>
    <w:rsid w:val="00B4568A"/>
    <w:rsid w:val="00B46EDE"/>
    <w:rsid w:val="00B4739A"/>
    <w:rsid w:val="00B47781"/>
    <w:rsid w:val="00B47D2C"/>
    <w:rsid w:val="00B502E3"/>
    <w:rsid w:val="00B5211D"/>
    <w:rsid w:val="00B548CE"/>
    <w:rsid w:val="00B5532A"/>
    <w:rsid w:val="00B55A0D"/>
    <w:rsid w:val="00B55B29"/>
    <w:rsid w:val="00B56450"/>
    <w:rsid w:val="00B57051"/>
    <w:rsid w:val="00B5746B"/>
    <w:rsid w:val="00B574D3"/>
    <w:rsid w:val="00B57D61"/>
    <w:rsid w:val="00B57DBA"/>
    <w:rsid w:val="00B603E0"/>
    <w:rsid w:val="00B60707"/>
    <w:rsid w:val="00B61D02"/>
    <w:rsid w:val="00B63AE8"/>
    <w:rsid w:val="00B63DEF"/>
    <w:rsid w:val="00B65400"/>
    <w:rsid w:val="00B67EB9"/>
    <w:rsid w:val="00B711A0"/>
    <w:rsid w:val="00B71815"/>
    <w:rsid w:val="00B71928"/>
    <w:rsid w:val="00B73DEA"/>
    <w:rsid w:val="00B74167"/>
    <w:rsid w:val="00B7537C"/>
    <w:rsid w:val="00B75D8A"/>
    <w:rsid w:val="00B75E80"/>
    <w:rsid w:val="00B75EB4"/>
    <w:rsid w:val="00B805A3"/>
    <w:rsid w:val="00B80BF9"/>
    <w:rsid w:val="00B80E79"/>
    <w:rsid w:val="00B82750"/>
    <w:rsid w:val="00B82B7B"/>
    <w:rsid w:val="00B83D0E"/>
    <w:rsid w:val="00B84156"/>
    <w:rsid w:val="00B8535C"/>
    <w:rsid w:val="00B85B04"/>
    <w:rsid w:val="00B86449"/>
    <w:rsid w:val="00B902F4"/>
    <w:rsid w:val="00B90383"/>
    <w:rsid w:val="00B91D44"/>
    <w:rsid w:val="00B941AA"/>
    <w:rsid w:val="00B94782"/>
    <w:rsid w:val="00B95C97"/>
    <w:rsid w:val="00B964A6"/>
    <w:rsid w:val="00B96881"/>
    <w:rsid w:val="00B9698C"/>
    <w:rsid w:val="00B96D71"/>
    <w:rsid w:val="00B96ED1"/>
    <w:rsid w:val="00B97D89"/>
    <w:rsid w:val="00B97DF0"/>
    <w:rsid w:val="00B97E4E"/>
    <w:rsid w:val="00BA0750"/>
    <w:rsid w:val="00BA0770"/>
    <w:rsid w:val="00BA18BF"/>
    <w:rsid w:val="00BA1C41"/>
    <w:rsid w:val="00BA1E74"/>
    <w:rsid w:val="00BA2377"/>
    <w:rsid w:val="00BA2F67"/>
    <w:rsid w:val="00BA310C"/>
    <w:rsid w:val="00BA420B"/>
    <w:rsid w:val="00BA6081"/>
    <w:rsid w:val="00BA6E95"/>
    <w:rsid w:val="00BA7949"/>
    <w:rsid w:val="00BB0044"/>
    <w:rsid w:val="00BB019C"/>
    <w:rsid w:val="00BB01D9"/>
    <w:rsid w:val="00BB1004"/>
    <w:rsid w:val="00BB1764"/>
    <w:rsid w:val="00BB1811"/>
    <w:rsid w:val="00BB22A0"/>
    <w:rsid w:val="00BB2C96"/>
    <w:rsid w:val="00BB30A2"/>
    <w:rsid w:val="00BB30BB"/>
    <w:rsid w:val="00BB3E6F"/>
    <w:rsid w:val="00BB479D"/>
    <w:rsid w:val="00BC0732"/>
    <w:rsid w:val="00BC146F"/>
    <w:rsid w:val="00BC2895"/>
    <w:rsid w:val="00BC2C26"/>
    <w:rsid w:val="00BC33DD"/>
    <w:rsid w:val="00BC459B"/>
    <w:rsid w:val="00BC505F"/>
    <w:rsid w:val="00BC5279"/>
    <w:rsid w:val="00BC607E"/>
    <w:rsid w:val="00BC619E"/>
    <w:rsid w:val="00BC78E0"/>
    <w:rsid w:val="00BC7973"/>
    <w:rsid w:val="00BD2A1C"/>
    <w:rsid w:val="00BD3BCD"/>
    <w:rsid w:val="00BD4B50"/>
    <w:rsid w:val="00BD5BC4"/>
    <w:rsid w:val="00BE06EB"/>
    <w:rsid w:val="00BE1DED"/>
    <w:rsid w:val="00BE2195"/>
    <w:rsid w:val="00BE2209"/>
    <w:rsid w:val="00BE2A45"/>
    <w:rsid w:val="00BE2D51"/>
    <w:rsid w:val="00BE46DD"/>
    <w:rsid w:val="00BE4B36"/>
    <w:rsid w:val="00BE5D0C"/>
    <w:rsid w:val="00BE7F43"/>
    <w:rsid w:val="00BF08A3"/>
    <w:rsid w:val="00BF0A3F"/>
    <w:rsid w:val="00BF1AF6"/>
    <w:rsid w:val="00BF1E7D"/>
    <w:rsid w:val="00BF2AD7"/>
    <w:rsid w:val="00BF2B31"/>
    <w:rsid w:val="00BF3C91"/>
    <w:rsid w:val="00BF40C8"/>
    <w:rsid w:val="00BF57F4"/>
    <w:rsid w:val="00BF5F5E"/>
    <w:rsid w:val="00BF6203"/>
    <w:rsid w:val="00C014C3"/>
    <w:rsid w:val="00C01F1B"/>
    <w:rsid w:val="00C02BF2"/>
    <w:rsid w:val="00C05593"/>
    <w:rsid w:val="00C05D7C"/>
    <w:rsid w:val="00C06188"/>
    <w:rsid w:val="00C104FA"/>
    <w:rsid w:val="00C11F98"/>
    <w:rsid w:val="00C1289B"/>
    <w:rsid w:val="00C13365"/>
    <w:rsid w:val="00C1338F"/>
    <w:rsid w:val="00C14196"/>
    <w:rsid w:val="00C156C6"/>
    <w:rsid w:val="00C15E1C"/>
    <w:rsid w:val="00C17BFA"/>
    <w:rsid w:val="00C20361"/>
    <w:rsid w:val="00C216FC"/>
    <w:rsid w:val="00C22FF8"/>
    <w:rsid w:val="00C24125"/>
    <w:rsid w:val="00C24F77"/>
    <w:rsid w:val="00C25B18"/>
    <w:rsid w:val="00C2665D"/>
    <w:rsid w:val="00C26842"/>
    <w:rsid w:val="00C278EB"/>
    <w:rsid w:val="00C300D2"/>
    <w:rsid w:val="00C30100"/>
    <w:rsid w:val="00C32D25"/>
    <w:rsid w:val="00C338E3"/>
    <w:rsid w:val="00C33DF9"/>
    <w:rsid w:val="00C3649D"/>
    <w:rsid w:val="00C401A2"/>
    <w:rsid w:val="00C40536"/>
    <w:rsid w:val="00C41BD0"/>
    <w:rsid w:val="00C420D7"/>
    <w:rsid w:val="00C44B32"/>
    <w:rsid w:val="00C44C65"/>
    <w:rsid w:val="00C46530"/>
    <w:rsid w:val="00C4654E"/>
    <w:rsid w:val="00C470D1"/>
    <w:rsid w:val="00C50529"/>
    <w:rsid w:val="00C5185A"/>
    <w:rsid w:val="00C522FC"/>
    <w:rsid w:val="00C53C60"/>
    <w:rsid w:val="00C53F7F"/>
    <w:rsid w:val="00C54587"/>
    <w:rsid w:val="00C545B6"/>
    <w:rsid w:val="00C55941"/>
    <w:rsid w:val="00C559E3"/>
    <w:rsid w:val="00C56426"/>
    <w:rsid w:val="00C56F98"/>
    <w:rsid w:val="00C575DE"/>
    <w:rsid w:val="00C57621"/>
    <w:rsid w:val="00C57792"/>
    <w:rsid w:val="00C57B27"/>
    <w:rsid w:val="00C60665"/>
    <w:rsid w:val="00C61784"/>
    <w:rsid w:val="00C63139"/>
    <w:rsid w:val="00C63723"/>
    <w:rsid w:val="00C63E94"/>
    <w:rsid w:val="00C651CE"/>
    <w:rsid w:val="00C67FC5"/>
    <w:rsid w:val="00C7123A"/>
    <w:rsid w:val="00C734F6"/>
    <w:rsid w:val="00C7713B"/>
    <w:rsid w:val="00C77688"/>
    <w:rsid w:val="00C801CA"/>
    <w:rsid w:val="00C80522"/>
    <w:rsid w:val="00C8084A"/>
    <w:rsid w:val="00C80F4B"/>
    <w:rsid w:val="00C80FF5"/>
    <w:rsid w:val="00C81054"/>
    <w:rsid w:val="00C8264E"/>
    <w:rsid w:val="00C84CD4"/>
    <w:rsid w:val="00C853CC"/>
    <w:rsid w:val="00C854B0"/>
    <w:rsid w:val="00C8578A"/>
    <w:rsid w:val="00C860B3"/>
    <w:rsid w:val="00C8612E"/>
    <w:rsid w:val="00C91BC0"/>
    <w:rsid w:val="00C91F3B"/>
    <w:rsid w:val="00C92BAB"/>
    <w:rsid w:val="00C93BE5"/>
    <w:rsid w:val="00C93C9B"/>
    <w:rsid w:val="00C96510"/>
    <w:rsid w:val="00C96562"/>
    <w:rsid w:val="00C965B7"/>
    <w:rsid w:val="00C97123"/>
    <w:rsid w:val="00CA2679"/>
    <w:rsid w:val="00CA2B9E"/>
    <w:rsid w:val="00CA377E"/>
    <w:rsid w:val="00CA43CF"/>
    <w:rsid w:val="00CA46EE"/>
    <w:rsid w:val="00CA4744"/>
    <w:rsid w:val="00CA5A25"/>
    <w:rsid w:val="00CA623D"/>
    <w:rsid w:val="00CA67C6"/>
    <w:rsid w:val="00CA6E3B"/>
    <w:rsid w:val="00CA70AC"/>
    <w:rsid w:val="00CB04AB"/>
    <w:rsid w:val="00CB08CC"/>
    <w:rsid w:val="00CB0A85"/>
    <w:rsid w:val="00CB161D"/>
    <w:rsid w:val="00CB4637"/>
    <w:rsid w:val="00CB49CE"/>
    <w:rsid w:val="00CB5152"/>
    <w:rsid w:val="00CB578B"/>
    <w:rsid w:val="00CB6A32"/>
    <w:rsid w:val="00CB6DD3"/>
    <w:rsid w:val="00CB7C13"/>
    <w:rsid w:val="00CC1128"/>
    <w:rsid w:val="00CC1543"/>
    <w:rsid w:val="00CC1FF1"/>
    <w:rsid w:val="00CC2438"/>
    <w:rsid w:val="00CC2C11"/>
    <w:rsid w:val="00CC2D18"/>
    <w:rsid w:val="00CC38CC"/>
    <w:rsid w:val="00CC460D"/>
    <w:rsid w:val="00CC573C"/>
    <w:rsid w:val="00CC5A71"/>
    <w:rsid w:val="00CC7DBB"/>
    <w:rsid w:val="00CD06D9"/>
    <w:rsid w:val="00CD0C31"/>
    <w:rsid w:val="00CD0FD4"/>
    <w:rsid w:val="00CD2154"/>
    <w:rsid w:val="00CD21FE"/>
    <w:rsid w:val="00CD3CD0"/>
    <w:rsid w:val="00CD3F11"/>
    <w:rsid w:val="00CD481B"/>
    <w:rsid w:val="00CD51BC"/>
    <w:rsid w:val="00CD67A7"/>
    <w:rsid w:val="00CD68B8"/>
    <w:rsid w:val="00CD7C3B"/>
    <w:rsid w:val="00CE03C8"/>
    <w:rsid w:val="00CE1E21"/>
    <w:rsid w:val="00CE5679"/>
    <w:rsid w:val="00CE5C38"/>
    <w:rsid w:val="00CE5C9D"/>
    <w:rsid w:val="00CE62AA"/>
    <w:rsid w:val="00CE62F6"/>
    <w:rsid w:val="00CE7EEE"/>
    <w:rsid w:val="00CE7F6D"/>
    <w:rsid w:val="00CE7F7C"/>
    <w:rsid w:val="00CF00BE"/>
    <w:rsid w:val="00CF0DB8"/>
    <w:rsid w:val="00CF1457"/>
    <w:rsid w:val="00CF24A1"/>
    <w:rsid w:val="00CF256E"/>
    <w:rsid w:val="00CF29C1"/>
    <w:rsid w:val="00CF5198"/>
    <w:rsid w:val="00CF5827"/>
    <w:rsid w:val="00CF5871"/>
    <w:rsid w:val="00CF6E79"/>
    <w:rsid w:val="00CF6F6F"/>
    <w:rsid w:val="00CF78CE"/>
    <w:rsid w:val="00CF7BA1"/>
    <w:rsid w:val="00D00366"/>
    <w:rsid w:val="00D009E0"/>
    <w:rsid w:val="00D00B10"/>
    <w:rsid w:val="00D00FF5"/>
    <w:rsid w:val="00D01428"/>
    <w:rsid w:val="00D01579"/>
    <w:rsid w:val="00D017FE"/>
    <w:rsid w:val="00D02D40"/>
    <w:rsid w:val="00D03036"/>
    <w:rsid w:val="00D03881"/>
    <w:rsid w:val="00D04742"/>
    <w:rsid w:val="00D05123"/>
    <w:rsid w:val="00D05C4D"/>
    <w:rsid w:val="00D06A12"/>
    <w:rsid w:val="00D06A48"/>
    <w:rsid w:val="00D07436"/>
    <w:rsid w:val="00D07BBF"/>
    <w:rsid w:val="00D10753"/>
    <w:rsid w:val="00D13FC8"/>
    <w:rsid w:val="00D1558B"/>
    <w:rsid w:val="00D164BF"/>
    <w:rsid w:val="00D179F6"/>
    <w:rsid w:val="00D17F79"/>
    <w:rsid w:val="00D20095"/>
    <w:rsid w:val="00D226A5"/>
    <w:rsid w:val="00D2300D"/>
    <w:rsid w:val="00D23976"/>
    <w:rsid w:val="00D24B76"/>
    <w:rsid w:val="00D24EDB"/>
    <w:rsid w:val="00D265E1"/>
    <w:rsid w:val="00D26C0E"/>
    <w:rsid w:val="00D27606"/>
    <w:rsid w:val="00D30A10"/>
    <w:rsid w:val="00D30FC9"/>
    <w:rsid w:val="00D32E20"/>
    <w:rsid w:val="00D33763"/>
    <w:rsid w:val="00D33E63"/>
    <w:rsid w:val="00D344EB"/>
    <w:rsid w:val="00D3465C"/>
    <w:rsid w:val="00D34AA3"/>
    <w:rsid w:val="00D35667"/>
    <w:rsid w:val="00D36313"/>
    <w:rsid w:val="00D37000"/>
    <w:rsid w:val="00D377BA"/>
    <w:rsid w:val="00D402F1"/>
    <w:rsid w:val="00D403A1"/>
    <w:rsid w:val="00D419EB"/>
    <w:rsid w:val="00D41E0B"/>
    <w:rsid w:val="00D426E5"/>
    <w:rsid w:val="00D42B35"/>
    <w:rsid w:val="00D43D2B"/>
    <w:rsid w:val="00D43ECF"/>
    <w:rsid w:val="00D44913"/>
    <w:rsid w:val="00D44FB7"/>
    <w:rsid w:val="00D456BB"/>
    <w:rsid w:val="00D47304"/>
    <w:rsid w:val="00D479F5"/>
    <w:rsid w:val="00D5138F"/>
    <w:rsid w:val="00D5228E"/>
    <w:rsid w:val="00D541F9"/>
    <w:rsid w:val="00D543A1"/>
    <w:rsid w:val="00D55183"/>
    <w:rsid w:val="00D55425"/>
    <w:rsid w:val="00D55CDD"/>
    <w:rsid w:val="00D567D8"/>
    <w:rsid w:val="00D56AF5"/>
    <w:rsid w:val="00D60BA2"/>
    <w:rsid w:val="00D6289C"/>
    <w:rsid w:val="00D6329C"/>
    <w:rsid w:val="00D6464C"/>
    <w:rsid w:val="00D647B4"/>
    <w:rsid w:val="00D649E8"/>
    <w:rsid w:val="00D64B06"/>
    <w:rsid w:val="00D652B0"/>
    <w:rsid w:val="00D667FB"/>
    <w:rsid w:val="00D708A4"/>
    <w:rsid w:val="00D708E5"/>
    <w:rsid w:val="00D7099B"/>
    <w:rsid w:val="00D72E7D"/>
    <w:rsid w:val="00D7307B"/>
    <w:rsid w:val="00D731BA"/>
    <w:rsid w:val="00D74E8C"/>
    <w:rsid w:val="00D74FE2"/>
    <w:rsid w:val="00D75114"/>
    <w:rsid w:val="00D75B90"/>
    <w:rsid w:val="00D76327"/>
    <w:rsid w:val="00D80172"/>
    <w:rsid w:val="00D801D3"/>
    <w:rsid w:val="00D808E9"/>
    <w:rsid w:val="00D81A6B"/>
    <w:rsid w:val="00D82C93"/>
    <w:rsid w:val="00D83FF5"/>
    <w:rsid w:val="00D85363"/>
    <w:rsid w:val="00D85851"/>
    <w:rsid w:val="00D85F30"/>
    <w:rsid w:val="00D86B63"/>
    <w:rsid w:val="00D87A7E"/>
    <w:rsid w:val="00D87CAE"/>
    <w:rsid w:val="00D90189"/>
    <w:rsid w:val="00D90A0E"/>
    <w:rsid w:val="00D90A41"/>
    <w:rsid w:val="00D90C54"/>
    <w:rsid w:val="00D90E81"/>
    <w:rsid w:val="00D91A79"/>
    <w:rsid w:val="00D9211D"/>
    <w:rsid w:val="00D92E45"/>
    <w:rsid w:val="00D93CE9"/>
    <w:rsid w:val="00D941B5"/>
    <w:rsid w:val="00D94867"/>
    <w:rsid w:val="00D964BA"/>
    <w:rsid w:val="00D9689A"/>
    <w:rsid w:val="00D97178"/>
    <w:rsid w:val="00DA0F9E"/>
    <w:rsid w:val="00DA10A6"/>
    <w:rsid w:val="00DA1651"/>
    <w:rsid w:val="00DA255F"/>
    <w:rsid w:val="00DA4BEA"/>
    <w:rsid w:val="00DA540B"/>
    <w:rsid w:val="00DA57C7"/>
    <w:rsid w:val="00DA5D1B"/>
    <w:rsid w:val="00DA646B"/>
    <w:rsid w:val="00DA70E4"/>
    <w:rsid w:val="00DB0F2C"/>
    <w:rsid w:val="00DB2953"/>
    <w:rsid w:val="00DB4995"/>
    <w:rsid w:val="00DB4AA4"/>
    <w:rsid w:val="00DB5E8A"/>
    <w:rsid w:val="00DB7773"/>
    <w:rsid w:val="00DB7926"/>
    <w:rsid w:val="00DC06E8"/>
    <w:rsid w:val="00DC1389"/>
    <w:rsid w:val="00DC13A7"/>
    <w:rsid w:val="00DC1604"/>
    <w:rsid w:val="00DC1C0C"/>
    <w:rsid w:val="00DC20B2"/>
    <w:rsid w:val="00DC20BF"/>
    <w:rsid w:val="00DC20DF"/>
    <w:rsid w:val="00DC2655"/>
    <w:rsid w:val="00DC5111"/>
    <w:rsid w:val="00DC658D"/>
    <w:rsid w:val="00DC6A76"/>
    <w:rsid w:val="00DC7D14"/>
    <w:rsid w:val="00DD0179"/>
    <w:rsid w:val="00DD0CB5"/>
    <w:rsid w:val="00DD0D9A"/>
    <w:rsid w:val="00DD1767"/>
    <w:rsid w:val="00DD1F48"/>
    <w:rsid w:val="00DD46A8"/>
    <w:rsid w:val="00DD585B"/>
    <w:rsid w:val="00DD697E"/>
    <w:rsid w:val="00DD6F70"/>
    <w:rsid w:val="00DD7364"/>
    <w:rsid w:val="00DE10D7"/>
    <w:rsid w:val="00DE14CC"/>
    <w:rsid w:val="00DE1946"/>
    <w:rsid w:val="00DE1E02"/>
    <w:rsid w:val="00DE28E5"/>
    <w:rsid w:val="00DE296B"/>
    <w:rsid w:val="00DE37EB"/>
    <w:rsid w:val="00DE39AB"/>
    <w:rsid w:val="00DE45C6"/>
    <w:rsid w:val="00DE4BB8"/>
    <w:rsid w:val="00DE7614"/>
    <w:rsid w:val="00DF08CA"/>
    <w:rsid w:val="00DF13BD"/>
    <w:rsid w:val="00DF1592"/>
    <w:rsid w:val="00DF1C0C"/>
    <w:rsid w:val="00DF2AEE"/>
    <w:rsid w:val="00DF2E24"/>
    <w:rsid w:val="00DF5DF1"/>
    <w:rsid w:val="00DF616A"/>
    <w:rsid w:val="00DF6798"/>
    <w:rsid w:val="00DF6C27"/>
    <w:rsid w:val="00E01377"/>
    <w:rsid w:val="00E02AB6"/>
    <w:rsid w:val="00E02DAB"/>
    <w:rsid w:val="00E03C03"/>
    <w:rsid w:val="00E0469F"/>
    <w:rsid w:val="00E04B33"/>
    <w:rsid w:val="00E051AB"/>
    <w:rsid w:val="00E05312"/>
    <w:rsid w:val="00E0751D"/>
    <w:rsid w:val="00E103E1"/>
    <w:rsid w:val="00E10A1F"/>
    <w:rsid w:val="00E10ECF"/>
    <w:rsid w:val="00E11943"/>
    <w:rsid w:val="00E14251"/>
    <w:rsid w:val="00E14CA3"/>
    <w:rsid w:val="00E14E66"/>
    <w:rsid w:val="00E161F8"/>
    <w:rsid w:val="00E17978"/>
    <w:rsid w:val="00E20521"/>
    <w:rsid w:val="00E22496"/>
    <w:rsid w:val="00E23274"/>
    <w:rsid w:val="00E23314"/>
    <w:rsid w:val="00E23971"/>
    <w:rsid w:val="00E23BAC"/>
    <w:rsid w:val="00E25AF7"/>
    <w:rsid w:val="00E26F6B"/>
    <w:rsid w:val="00E30A96"/>
    <w:rsid w:val="00E31E80"/>
    <w:rsid w:val="00E3272D"/>
    <w:rsid w:val="00E33BD4"/>
    <w:rsid w:val="00E34EB3"/>
    <w:rsid w:val="00E357C9"/>
    <w:rsid w:val="00E35D41"/>
    <w:rsid w:val="00E3627D"/>
    <w:rsid w:val="00E411E9"/>
    <w:rsid w:val="00E41DAF"/>
    <w:rsid w:val="00E433E0"/>
    <w:rsid w:val="00E437D2"/>
    <w:rsid w:val="00E440FF"/>
    <w:rsid w:val="00E44260"/>
    <w:rsid w:val="00E45FF4"/>
    <w:rsid w:val="00E464DE"/>
    <w:rsid w:val="00E46CAE"/>
    <w:rsid w:val="00E470C2"/>
    <w:rsid w:val="00E47C42"/>
    <w:rsid w:val="00E51826"/>
    <w:rsid w:val="00E53CA3"/>
    <w:rsid w:val="00E542AD"/>
    <w:rsid w:val="00E5462C"/>
    <w:rsid w:val="00E547B5"/>
    <w:rsid w:val="00E54820"/>
    <w:rsid w:val="00E56A51"/>
    <w:rsid w:val="00E604C9"/>
    <w:rsid w:val="00E611DD"/>
    <w:rsid w:val="00E61C0A"/>
    <w:rsid w:val="00E61F7E"/>
    <w:rsid w:val="00E62453"/>
    <w:rsid w:val="00E62509"/>
    <w:rsid w:val="00E6420A"/>
    <w:rsid w:val="00E648D9"/>
    <w:rsid w:val="00E65D58"/>
    <w:rsid w:val="00E70964"/>
    <w:rsid w:val="00E712D9"/>
    <w:rsid w:val="00E71E0C"/>
    <w:rsid w:val="00E72480"/>
    <w:rsid w:val="00E7331E"/>
    <w:rsid w:val="00E7394A"/>
    <w:rsid w:val="00E739ED"/>
    <w:rsid w:val="00E74305"/>
    <w:rsid w:val="00E75330"/>
    <w:rsid w:val="00E761F4"/>
    <w:rsid w:val="00E77BAE"/>
    <w:rsid w:val="00E800A2"/>
    <w:rsid w:val="00E80F40"/>
    <w:rsid w:val="00E83350"/>
    <w:rsid w:val="00E84120"/>
    <w:rsid w:val="00E85CC4"/>
    <w:rsid w:val="00E8742D"/>
    <w:rsid w:val="00E876B6"/>
    <w:rsid w:val="00E913A6"/>
    <w:rsid w:val="00E920F8"/>
    <w:rsid w:val="00E925B0"/>
    <w:rsid w:val="00E935E6"/>
    <w:rsid w:val="00E96DC2"/>
    <w:rsid w:val="00E97DC7"/>
    <w:rsid w:val="00EA0403"/>
    <w:rsid w:val="00EA144B"/>
    <w:rsid w:val="00EA1609"/>
    <w:rsid w:val="00EA1C97"/>
    <w:rsid w:val="00EA2637"/>
    <w:rsid w:val="00EA2754"/>
    <w:rsid w:val="00EA2FFF"/>
    <w:rsid w:val="00EA3E71"/>
    <w:rsid w:val="00EA4541"/>
    <w:rsid w:val="00EA4C08"/>
    <w:rsid w:val="00EA53B6"/>
    <w:rsid w:val="00EA5B12"/>
    <w:rsid w:val="00EA6CCE"/>
    <w:rsid w:val="00EB05E8"/>
    <w:rsid w:val="00EB0CDF"/>
    <w:rsid w:val="00EB1310"/>
    <w:rsid w:val="00EB1383"/>
    <w:rsid w:val="00EB1E18"/>
    <w:rsid w:val="00EB2504"/>
    <w:rsid w:val="00EB2F02"/>
    <w:rsid w:val="00EB4257"/>
    <w:rsid w:val="00EB5E12"/>
    <w:rsid w:val="00EC0434"/>
    <w:rsid w:val="00EC0743"/>
    <w:rsid w:val="00EC0929"/>
    <w:rsid w:val="00EC0C42"/>
    <w:rsid w:val="00EC1470"/>
    <w:rsid w:val="00EC24DA"/>
    <w:rsid w:val="00EC265C"/>
    <w:rsid w:val="00EC2998"/>
    <w:rsid w:val="00EC3A85"/>
    <w:rsid w:val="00EC4D7D"/>
    <w:rsid w:val="00EC512C"/>
    <w:rsid w:val="00EC75C1"/>
    <w:rsid w:val="00EC78BA"/>
    <w:rsid w:val="00ED069F"/>
    <w:rsid w:val="00ED122E"/>
    <w:rsid w:val="00ED16B0"/>
    <w:rsid w:val="00ED1D20"/>
    <w:rsid w:val="00ED6198"/>
    <w:rsid w:val="00ED65DD"/>
    <w:rsid w:val="00ED6DD0"/>
    <w:rsid w:val="00ED6FA4"/>
    <w:rsid w:val="00EE0A8C"/>
    <w:rsid w:val="00EE277E"/>
    <w:rsid w:val="00EE2804"/>
    <w:rsid w:val="00EE3216"/>
    <w:rsid w:val="00EE529F"/>
    <w:rsid w:val="00EE5758"/>
    <w:rsid w:val="00EE5E61"/>
    <w:rsid w:val="00EE6183"/>
    <w:rsid w:val="00EF032D"/>
    <w:rsid w:val="00EF093B"/>
    <w:rsid w:val="00EF0D59"/>
    <w:rsid w:val="00EF18D7"/>
    <w:rsid w:val="00EF1FF3"/>
    <w:rsid w:val="00EF23CD"/>
    <w:rsid w:val="00EF2B1D"/>
    <w:rsid w:val="00EF2FCC"/>
    <w:rsid w:val="00EF4273"/>
    <w:rsid w:val="00EF46D5"/>
    <w:rsid w:val="00EF5724"/>
    <w:rsid w:val="00EF5BA5"/>
    <w:rsid w:val="00EF5BE0"/>
    <w:rsid w:val="00EF5E06"/>
    <w:rsid w:val="00EF5F6B"/>
    <w:rsid w:val="00EF5F71"/>
    <w:rsid w:val="00EF6389"/>
    <w:rsid w:val="00EF7CEA"/>
    <w:rsid w:val="00EF7D46"/>
    <w:rsid w:val="00F0016C"/>
    <w:rsid w:val="00F00619"/>
    <w:rsid w:val="00F01BEE"/>
    <w:rsid w:val="00F01E81"/>
    <w:rsid w:val="00F023A9"/>
    <w:rsid w:val="00F02A83"/>
    <w:rsid w:val="00F05548"/>
    <w:rsid w:val="00F0653E"/>
    <w:rsid w:val="00F06ABF"/>
    <w:rsid w:val="00F06DBD"/>
    <w:rsid w:val="00F06FFC"/>
    <w:rsid w:val="00F07385"/>
    <w:rsid w:val="00F10C4D"/>
    <w:rsid w:val="00F11419"/>
    <w:rsid w:val="00F1169E"/>
    <w:rsid w:val="00F12747"/>
    <w:rsid w:val="00F12D38"/>
    <w:rsid w:val="00F148A7"/>
    <w:rsid w:val="00F14B20"/>
    <w:rsid w:val="00F151A6"/>
    <w:rsid w:val="00F164B5"/>
    <w:rsid w:val="00F17516"/>
    <w:rsid w:val="00F17D20"/>
    <w:rsid w:val="00F17DF1"/>
    <w:rsid w:val="00F17E82"/>
    <w:rsid w:val="00F20390"/>
    <w:rsid w:val="00F20BC1"/>
    <w:rsid w:val="00F2346F"/>
    <w:rsid w:val="00F2467A"/>
    <w:rsid w:val="00F24C34"/>
    <w:rsid w:val="00F25A22"/>
    <w:rsid w:val="00F26172"/>
    <w:rsid w:val="00F262A4"/>
    <w:rsid w:val="00F30937"/>
    <w:rsid w:val="00F30B2A"/>
    <w:rsid w:val="00F3208C"/>
    <w:rsid w:val="00F345D5"/>
    <w:rsid w:val="00F3559D"/>
    <w:rsid w:val="00F362CB"/>
    <w:rsid w:val="00F37129"/>
    <w:rsid w:val="00F404E7"/>
    <w:rsid w:val="00F41483"/>
    <w:rsid w:val="00F41D12"/>
    <w:rsid w:val="00F41F4A"/>
    <w:rsid w:val="00F44E03"/>
    <w:rsid w:val="00F462F7"/>
    <w:rsid w:val="00F4647E"/>
    <w:rsid w:val="00F46612"/>
    <w:rsid w:val="00F469EC"/>
    <w:rsid w:val="00F47162"/>
    <w:rsid w:val="00F479B7"/>
    <w:rsid w:val="00F502FA"/>
    <w:rsid w:val="00F50868"/>
    <w:rsid w:val="00F5103B"/>
    <w:rsid w:val="00F51AAC"/>
    <w:rsid w:val="00F51DDD"/>
    <w:rsid w:val="00F51F8F"/>
    <w:rsid w:val="00F524A9"/>
    <w:rsid w:val="00F540D8"/>
    <w:rsid w:val="00F54599"/>
    <w:rsid w:val="00F563C9"/>
    <w:rsid w:val="00F56BAE"/>
    <w:rsid w:val="00F57215"/>
    <w:rsid w:val="00F57726"/>
    <w:rsid w:val="00F57E84"/>
    <w:rsid w:val="00F60A38"/>
    <w:rsid w:val="00F61E0C"/>
    <w:rsid w:val="00F64DC0"/>
    <w:rsid w:val="00F66052"/>
    <w:rsid w:val="00F660DD"/>
    <w:rsid w:val="00F66621"/>
    <w:rsid w:val="00F66C5F"/>
    <w:rsid w:val="00F66E36"/>
    <w:rsid w:val="00F71C80"/>
    <w:rsid w:val="00F72262"/>
    <w:rsid w:val="00F7322B"/>
    <w:rsid w:val="00F7476C"/>
    <w:rsid w:val="00F75022"/>
    <w:rsid w:val="00F75219"/>
    <w:rsid w:val="00F76955"/>
    <w:rsid w:val="00F774AC"/>
    <w:rsid w:val="00F803C3"/>
    <w:rsid w:val="00F80988"/>
    <w:rsid w:val="00F820B2"/>
    <w:rsid w:val="00F82A21"/>
    <w:rsid w:val="00F837D2"/>
    <w:rsid w:val="00F846D3"/>
    <w:rsid w:val="00F84F02"/>
    <w:rsid w:val="00F85558"/>
    <w:rsid w:val="00F86163"/>
    <w:rsid w:val="00F86F8C"/>
    <w:rsid w:val="00F908D9"/>
    <w:rsid w:val="00F928D8"/>
    <w:rsid w:val="00F928ED"/>
    <w:rsid w:val="00F92960"/>
    <w:rsid w:val="00F946D2"/>
    <w:rsid w:val="00F954D0"/>
    <w:rsid w:val="00F96622"/>
    <w:rsid w:val="00F9698F"/>
    <w:rsid w:val="00F97D66"/>
    <w:rsid w:val="00FA1048"/>
    <w:rsid w:val="00FA17EB"/>
    <w:rsid w:val="00FA20BD"/>
    <w:rsid w:val="00FA2EA9"/>
    <w:rsid w:val="00FA32B9"/>
    <w:rsid w:val="00FA5476"/>
    <w:rsid w:val="00FA634F"/>
    <w:rsid w:val="00FA647F"/>
    <w:rsid w:val="00FA756B"/>
    <w:rsid w:val="00FB0961"/>
    <w:rsid w:val="00FB1B4E"/>
    <w:rsid w:val="00FB2118"/>
    <w:rsid w:val="00FB2793"/>
    <w:rsid w:val="00FB362C"/>
    <w:rsid w:val="00FB4B42"/>
    <w:rsid w:val="00FB5790"/>
    <w:rsid w:val="00FB59B1"/>
    <w:rsid w:val="00FB5B78"/>
    <w:rsid w:val="00FB5BFA"/>
    <w:rsid w:val="00FB690F"/>
    <w:rsid w:val="00FB6ED8"/>
    <w:rsid w:val="00FB6EE7"/>
    <w:rsid w:val="00FC0AA2"/>
    <w:rsid w:val="00FC1087"/>
    <w:rsid w:val="00FC240F"/>
    <w:rsid w:val="00FC25AA"/>
    <w:rsid w:val="00FC2743"/>
    <w:rsid w:val="00FC2FF4"/>
    <w:rsid w:val="00FC3078"/>
    <w:rsid w:val="00FC3830"/>
    <w:rsid w:val="00FC4704"/>
    <w:rsid w:val="00FC4AA1"/>
    <w:rsid w:val="00FC6706"/>
    <w:rsid w:val="00FC7ABC"/>
    <w:rsid w:val="00FD0115"/>
    <w:rsid w:val="00FD02A9"/>
    <w:rsid w:val="00FD0C79"/>
    <w:rsid w:val="00FD0CB0"/>
    <w:rsid w:val="00FD1943"/>
    <w:rsid w:val="00FD1CDB"/>
    <w:rsid w:val="00FD1EBF"/>
    <w:rsid w:val="00FD2C29"/>
    <w:rsid w:val="00FD31DC"/>
    <w:rsid w:val="00FD5F72"/>
    <w:rsid w:val="00FD7070"/>
    <w:rsid w:val="00FD754D"/>
    <w:rsid w:val="00FD7C3F"/>
    <w:rsid w:val="00FE035B"/>
    <w:rsid w:val="00FE0835"/>
    <w:rsid w:val="00FE1097"/>
    <w:rsid w:val="00FE12C8"/>
    <w:rsid w:val="00FE16BF"/>
    <w:rsid w:val="00FE17C0"/>
    <w:rsid w:val="00FE279A"/>
    <w:rsid w:val="00FE314C"/>
    <w:rsid w:val="00FE4BB5"/>
    <w:rsid w:val="00FE5305"/>
    <w:rsid w:val="00FE55BB"/>
    <w:rsid w:val="00FE57FF"/>
    <w:rsid w:val="00FE7137"/>
    <w:rsid w:val="00FF141A"/>
    <w:rsid w:val="00FF2889"/>
    <w:rsid w:val="00FF293B"/>
    <w:rsid w:val="00FF418D"/>
    <w:rsid w:val="00FF480A"/>
    <w:rsid w:val="00FF57F6"/>
    <w:rsid w:val="00FF58CC"/>
    <w:rsid w:val="00FF5949"/>
    <w:rsid w:val="00FF606F"/>
    <w:rsid w:val="00FF63A6"/>
    <w:rsid w:val="00FF6EB7"/>
    <w:rsid w:val="0147510F"/>
    <w:rsid w:val="022D4536"/>
    <w:rsid w:val="028710B6"/>
    <w:rsid w:val="03427456"/>
    <w:rsid w:val="035716F8"/>
    <w:rsid w:val="037D69BA"/>
    <w:rsid w:val="03CF6C6F"/>
    <w:rsid w:val="04861124"/>
    <w:rsid w:val="05B444BD"/>
    <w:rsid w:val="06A52D74"/>
    <w:rsid w:val="088C47F3"/>
    <w:rsid w:val="09317E9F"/>
    <w:rsid w:val="094620D8"/>
    <w:rsid w:val="09B548C0"/>
    <w:rsid w:val="09F158A1"/>
    <w:rsid w:val="0B4E3A9D"/>
    <w:rsid w:val="0C202884"/>
    <w:rsid w:val="0C552EF7"/>
    <w:rsid w:val="0D3B49CB"/>
    <w:rsid w:val="0DDD36CF"/>
    <w:rsid w:val="0E2F4890"/>
    <w:rsid w:val="0F2B146F"/>
    <w:rsid w:val="0FB430AC"/>
    <w:rsid w:val="0FC92617"/>
    <w:rsid w:val="10F81AEE"/>
    <w:rsid w:val="118C3A42"/>
    <w:rsid w:val="11C36188"/>
    <w:rsid w:val="120C16C0"/>
    <w:rsid w:val="12732A8A"/>
    <w:rsid w:val="12936888"/>
    <w:rsid w:val="13FA4C2A"/>
    <w:rsid w:val="14425325"/>
    <w:rsid w:val="14972420"/>
    <w:rsid w:val="15053098"/>
    <w:rsid w:val="15086F6B"/>
    <w:rsid w:val="16757268"/>
    <w:rsid w:val="16EB149A"/>
    <w:rsid w:val="18271537"/>
    <w:rsid w:val="18C471ED"/>
    <w:rsid w:val="19170735"/>
    <w:rsid w:val="19B129F8"/>
    <w:rsid w:val="1A542FD4"/>
    <w:rsid w:val="1A7E1072"/>
    <w:rsid w:val="1A87362A"/>
    <w:rsid w:val="1B8309B7"/>
    <w:rsid w:val="1DB36BA1"/>
    <w:rsid w:val="1DEC1F22"/>
    <w:rsid w:val="1F926C69"/>
    <w:rsid w:val="1FCB7619"/>
    <w:rsid w:val="21380E33"/>
    <w:rsid w:val="218F53E1"/>
    <w:rsid w:val="21D15402"/>
    <w:rsid w:val="23D66020"/>
    <w:rsid w:val="23DC5696"/>
    <w:rsid w:val="2411343C"/>
    <w:rsid w:val="24F6078B"/>
    <w:rsid w:val="25625623"/>
    <w:rsid w:val="26AE4DFD"/>
    <w:rsid w:val="26C54B51"/>
    <w:rsid w:val="26EC7318"/>
    <w:rsid w:val="27B1288F"/>
    <w:rsid w:val="27C24AC7"/>
    <w:rsid w:val="28122C4B"/>
    <w:rsid w:val="28701767"/>
    <w:rsid w:val="28DC6898"/>
    <w:rsid w:val="28FE6437"/>
    <w:rsid w:val="29951CDC"/>
    <w:rsid w:val="2A647C01"/>
    <w:rsid w:val="2A791555"/>
    <w:rsid w:val="2AB71F32"/>
    <w:rsid w:val="2B543AE3"/>
    <w:rsid w:val="2C2C7158"/>
    <w:rsid w:val="2D23009C"/>
    <w:rsid w:val="2D3A4ECD"/>
    <w:rsid w:val="2E1E06B9"/>
    <w:rsid w:val="2E8A57EA"/>
    <w:rsid w:val="2EEB458A"/>
    <w:rsid w:val="2F9922A9"/>
    <w:rsid w:val="302C51AB"/>
    <w:rsid w:val="31576C02"/>
    <w:rsid w:val="322F12BE"/>
    <w:rsid w:val="32625E48"/>
    <w:rsid w:val="32996D3F"/>
    <w:rsid w:val="32D66CD5"/>
    <w:rsid w:val="343222FD"/>
    <w:rsid w:val="35F85059"/>
    <w:rsid w:val="36135AB6"/>
    <w:rsid w:val="36CB529A"/>
    <w:rsid w:val="375E269E"/>
    <w:rsid w:val="37A8021A"/>
    <w:rsid w:val="39312331"/>
    <w:rsid w:val="3A1D2251"/>
    <w:rsid w:val="3B2D17A6"/>
    <w:rsid w:val="3CE65BB3"/>
    <w:rsid w:val="3D49091D"/>
    <w:rsid w:val="3DBB309C"/>
    <w:rsid w:val="3E31157A"/>
    <w:rsid w:val="3E505EB9"/>
    <w:rsid w:val="3ED9253A"/>
    <w:rsid w:val="3F1B2D28"/>
    <w:rsid w:val="3F5A3FF6"/>
    <w:rsid w:val="3F6322DF"/>
    <w:rsid w:val="3F645B21"/>
    <w:rsid w:val="3F7C43FA"/>
    <w:rsid w:val="402A21F4"/>
    <w:rsid w:val="40675E9F"/>
    <w:rsid w:val="40770CE8"/>
    <w:rsid w:val="4228342B"/>
    <w:rsid w:val="42443262"/>
    <w:rsid w:val="427631E9"/>
    <w:rsid w:val="429960CF"/>
    <w:rsid w:val="43DC5CC9"/>
    <w:rsid w:val="43E16907"/>
    <w:rsid w:val="447D4935"/>
    <w:rsid w:val="449A215D"/>
    <w:rsid w:val="452C2759"/>
    <w:rsid w:val="45771961"/>
    <w:rsid w:val="462D6412"/>
    <w:rsid w:val="474E045A"/>
    <w:rsid w:val="47541D2E"/>
    <w:rsid w:val="48D43D0B"/>
    <w:rsid w:val="49CB5A2E"/>
    <w:rsid w:val="4A414CD2"/>
    <w:rsid w:val="4AA44D9F"/>
    <w:rsid w:val="4AC917BE"/>
    <w:rsid w:val="4ACC0FC1"/>
    <w:rsid w:val="4AD66CDC"/>
    <w:rsid w:val="4B563C4A"/>
    <w:rsid w:val="4B7B2B72"/>
    <w:rsid w:val="4BF84E80"/>
    <w:rsid w:val="4CF124C7"/>
    <w:rsid w:val="4DC976E0"/>
    <w:rsid w:val="4E566916"/>
    <w:rsid w:val="4E677B8E"/>
    <w:rsid w:val="4E853A73"/>
    <w:rsid w:val="4F874A89"/>
    <w:rsid w:val="50EA0716"/>
    <w:rsid w:val="51B7078E"/>
    <w:rsid w:val="51E6586D"/>
    <w:rsid w:val="51F262A9"/>
    <w:rsid w:val="52873451"/>
    <w:rsid w:val="53820B12"/>
    <w:rsid w:val="54BB2338"/>
    <w:rsid w:val="554D4AFA"/>
    <w:rsid w:val="556A08D7"/>
    <w:rsid w:val="559B308C"/>
    <w:rsid w:val="55BF7C73"/>
    <w:rsid w:val="55C1604F"/>
    <w:rsid w:val="55C73AEA"/>
    <w:rsid w:val="56707EE0"/>
    <w:rsid w:val="567E7D95"/>
    <w:rsid w:val="56A62938"/>
    <w:rsid w:val="56D133FC"/>
    <w:rsid w:val="570E7F8A"/>
    <w:rsid w:val="572155E1"/>
    <w:rsid w:val="58244E9A"/>
    <w:rsid w:val="595360C2"/>
    <w:rsid w:val="59F5313D"/>
    <w:rsid w:val="5A124698"/>
    <w:rsid w:val="5A505A4E"/>
    <w:rsid w:val="5A560FB0"/>
    <w:rsid w:val="5AC24977"/>
    <w:rsid w:val="5B705D94"/>
    <w:rsid w:val="5C016F3D"/>
    <w:rsid w:val="5C5D40C3"/>
    <w:rsid w:val="5D2110FA"/>
    <w:rsid w:val="5D233178"/>
    <w:rsid w:val="5D597368"/>
    <w:rsid w:val="5E070ED0"/>
    <w:rsid w:val="5E4459BB"/>
    <w:rsid w:val="5EB82318"/>
    <w:rsid w:val="5F9514AC"/>
    <w:rsid w:val="60DE0679"/>
    <w:rsid w:val="60FF6112"/>
    <w:rsid w:val="629A65DF"/>
    <w:rsid w:val="62BC7C0A"/>
    <w:rsid w:val="62C50ED7"/>
    <w:rsid w:val="63983E2E"/>
    <w:rsid w:val="65724C80"/>
    <w:rsid w:val="65782CE0"/>
    <w:rsid w:val="658766E1"/>
    <w:rsid w:val="65971585"/>
    <w:rsid w:val="661F78A9"/>
    <w:rsid w:val="667B02A9"/>
    <w:rsid w:val="66C519D1"/>
    <w:rsid w:val="679200D4"/>
    <w:rsid w:val="67D87E65"/>
    <w:rsid w:val="680D6256"/>
    <w:rsid w:val="68443429"/>
    <w:rsid w:val="689E712B"/>
    <w:rsid w:val="6A3102F0"/>
    <w:rsid w:val="6A6E4B1E"/>
    <w:rsid w:val="6B850275"/>
    <w:rsid w:val="6BD91ED0"/>
    <w:rsid w:val="6CC243F8"/>
    <w:rsid w:val="6CD6015C"/>
    <w:rsid w:val="6CE07D44"/>
    <w:rsid w:val="6E0D7A9C"/>
    <w:rsid w:val="6F5546CE"/>
    <w:rsid w:val="6FCC1D0B"/>
    <w:rsid w:val="700D19B6"/>
    <w:rsid w:val="7111358D"/>
    <w:rsid w:val="71201074"/>
    <w:rsid w:val="71717C1A"/>
    <w:rsid w:val="71DB0B47"/>
    <w:rsid w:val="72AA620F"/>
    <w:rsid w:val="72B632B3"/>
    <w:rsid w:val="73C70602"/>
    <w:rsid w:val="742979C8"/>
    <w:rsid w:val="747878D1"/>
    <w:rsid w:val="75E005E8"/>
    <w:rsid w:val="76237CCB"/>
    <w:rsid w:val="76284C09"/>
    <w:rsid w:val="764D59B1"/>
    <w:rsid w:val="782D1687"/>
    <w:rsid w:val="78573779"/>
    <w:rsid w:val="78610BD4"/>
    <w:rsid w:val="78FD0B8F"/>
    <w:rsid w:val="7988624D"/>
    <w:rsid w:val="79CC7F63"/>
    <w:rsid w:val="7AA0031E"/>
    <w:rsid w:val="7B150C17"/>
    <w:rsid w:val="7B9B7A0B"/>
    <w:rsid w:val="7BF536C0"/>
    <w:rsid w:val="7DBB7CE1"/>
    <w:rsid w:val="7E1C5D51"/>
    <w:rsid w:val="7E1F591D"/>
    <w:rsid w:val="7E9868C2"/>
    <w:rsid w:val="7F0204F0"/>
    <w:rsid w:val="7FB17DC4"/>
    <w:rsid w:val="7FED6EF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0" w:semiHidden="0"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qFormat="1" w:unhideWhenUsed="0" w:uiPriority="99" w:semiHidden="0" w:name="table of figures"/>
    <w:lsdException w:uiPriority="99" w:name="envelope address" w:locked="1"/>
    <w:lsdException w:qFormat="1" w:unhideWhenUsed="0" w:uiPriority="0" w:semiHidden="0" w:name="envelope return" w:locked="1"/>
    <w:lsdException w:qFormat="1" w:unhideWhenUsed="0" w:uiPriority="99" w:semiHidden="0" w:name="footnote reference"/>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qFormat="1" w:unhideWhenUsed="0" w:uiPriority="0" w:semiHidden="0"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qFormat="1" w:unhideWhenUsed="0" w:uiPriority="99" w:semiHidden="0" w:name="List Continue 2"/>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qFormat="1" w:unhideWhenUsed="0" w:uiPriority="0" w:semiHidden="0" w:name="Salutation" w:locked="1"/>
    <w:lsdException w:qFormat="1" w:unhideWhenUsed="0" w:uiPriority="99" w:semiHidden="0" w:name="Date"/>
    <w:lsdException w:qFormat="1" w:unhideWhenUsed="0" w:uiPriority="0" w:semiHidden="0" w:name="Body Text First Indent" w:locked="1"/>
    <w:lsdException w:qFormat="1" w:uiPriority="0" w:semiHidden="0" w:name="Body Text First Indent 2" w:locked="1"/>
    <w:lsdException w:uiPriority="99" w:name="Note Heading" w:locked="1"/>
    <w:lsdException w:qFormat="1" w:unhideWhenUsed="0" w:uiPriority="0" w:semiHidden="0" w:name="Body Text 2" w:locked="1"/>
    <w:lsdException w:qFormat="1" w:unhideWhenUsed="0" w:uiPriority="99" w:semiHidden="0" w:name="Body Text 3"/>
    <w:lsdException w:qFormat="1" w:unhideWhenUsed="0" w:uiPriority="99" w:semiHidden="0" w:name="Body Text Indent 2"/>
    <w:lsdException w:qFormat="1" w:unhideWhenUsed="0" w:uiPriority="0" w:semiHidden="0" w:name="Body Text Indent 3"/>
    <w:lsdException w:qFormat="1" w:unhideWhenUsed="0" w:uiPriority="0" w:semiHidden="0"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qFormat="1" w:uiPriority="99" w:name="HTML Acronym" w:locked="1"/>
    <w:lsdException w:uiPriority="99" w:name="HTML Address" w:locked="1"/>
    <w:lsdException w:qFormat="1" w:uiPriority="99" w:name="HTML Cite" w:locked="1"/>
    <w:lsdException w:qFormat="1" w:uiPriority="99" w:name="HTML Code" w:locked="1"/>
    <w:lsdException w:qFormat="1" w:uiPriority="99" w:name="HTML Definition" w:locked="1"/>
    <w:lsdException w:qFormat="1" w:uiPriority="99" w:name="HTML Keyboard" w:locked="1"/>
    <w:lsdException w:qFormat="1" w:unhideWhenUsed="0" w:uiPriority="99" w:semiHidden="0" w:name="HTML Preformatted"/>
    <w:lsdException w:qFormat="1" w:uiPriority="99" w:name="HTML Sample" w:locked="1"/>
    <w:lsdException w:qFormat="1" w:uiPriority="99" w:name="HTML Typewriter" w:locked="1"/>
    <w:lsdException w:qFormat="1" w:uiPriority="99" w:name="HTML Variable" w:locked="1"/>
    <w:lsdException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59" w:semiHidden="0" w:name="Table Grid"/>
    <w:lsdException w:uiPriority="99" w:name="Table Theme" w:locked="1"/>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60"/>
    <w:autoRedefine/>
    <w:qFormat/>
    <w:uiPriority w:val="99"/>
    <w:pPr>
      <w:keepNext/>
      <w:keepLines/>
      <w:spacing w:before="340" w:after="330" w:line="576" w:lineRule="auto"/>
      <w:jc w:val="center"/>
      <w:outlineLvl w:val="0"/>
    </w:pPr>
    <w:rPr>
      <w:b/>
      <w:kern w:val="44"/>
      <w:sz w:val="44"/>
      <w:szCs w:val="20"/>
    </w:rPr>
  </w:style>
  <w:style w:type="paragraph" w:styleId="5">
    <w:name w:val="heading 2"/>
    <w:basedOn w:val="1"/>
    <w:next w:val="1"/>
    <w:link w:val="61"/>
    <w:autoRedefine/>
    <w:qFormat/>
    <w:uiPriority w:val="99"/>
    <w:pPr>
      <w:keepNext/>
      <w:keepLines/>
      <w:spacing w:before="260" w:after="260" w:line="415" w:lineRule="auto"/>
      <w:outlineLvl w:val="1"/>
    </w:pPr>
    <w:rPr>
      <w:rFonts w:ascii="Arial" w:hAnsi="Arial" w:eastAsia="黑体"/>
      <w:b/>
      <w:sz w:val="32"/>
      <w:szCs w:val="20"/>
    </w:rPr>
  </w:style>
  <w:style w:type="paragraph" w:styleId="6">
    <w:name w:val="heading 3"/>
    <w:basedOn w:val="1"/>
    <w:next w:val="1"/>
    <w:link w:val="62"/>
    <w:qFormat/>
    <w:uiPriority w:val="99"/>
    <w:pPr>
      <w:keepNext/>
      <w:keepLines/>
      <w:spacing w:before="20" w:after="20" w:line="415" w:lineRule="auto"/>
      <w:ind w:firstLine="137" w:firstLineChars="49"/>
      <w:outlineLvl w:val="2"/>
    </w:pPr>
    <w:rPr>
      <w:rFonts w:hAnsi="黑体" w:eastAsia="黑体"/>
      <w:sz w:val="24"/>
      <w:szCs w:val="20"/>
    </w:rPr>
  </w:style>
  <w:style w:type="paragraph" w:styleId="7">
    <w:name w:val="heading 4"/>
    <w:basedOn w:val="1"/>
    <w:next w:val="1"/>
    <w:link w:val="63"/>
    <w:autoRedefine/>
    <w:qFormat/>
    <w:uiPriority w:val="99"/>
    <w:pPr>
      <w:keepNext/>
      <w:keepLines/>
      <w:spacing w:before="280" w:after="290" w:line="374" w:lineRule="auto"/>
      <w:outlineLvl w:val="3"/>
    </w:pPr>
    <w:rPr>
      <w:rFonts w:ascii="Cambria" w:hAnsi="Cambria"/>
      <w:b/>
      <w:sz w:val="28"/>
      <w:szCs w:val="20"/>
    </w:rPr>
  </w:style>
  <w:style w:type="paragraph" w:styleId="8">
    <w:name w:val="heading 5"/>
    <w:basedOn w:val="1"/>
    <w:next w:val="1"/>
    <w:link w:val="64"/>
    <w:autoRedefine/>
    <w:qFormat/>
    <w:uiPriority w:val="99"/>
    <w:pPr>
      <w:keepNext/>
      <w:keepLines/>
      <w:spacing w:before="280" w:after="290" w:line="376" w:lineRule="auto"/>
      <w:outlineLvl w:val="4"/>
    </w:pPr>
    <w:rPr>
      <w:b/>
      <w:sz w:val="28"/>
      <w:szCs w:val="20"/>
    </w:rPr>
  </w:style>
  <w:style w:type="paragraph" w:styleId="9">
    <w:name w:val="heading 6"/>
    <w:basedOn w:val="1"/>
    <w:next w:val="1"/>
    <w:link w:val="65"/>
    <w:qFormat/>
    <w:uiPriority w:val="99"/>
    <w:pPr>
      <w:keepNext/>
      <w:keepLines/>
      <w:widowControl/>
      <w:tabs>
        <w:tab w:val="left" w:pos="1440"/>
      </w:tabs>
      <w:spacing w:before="240" w:after="64" w:line="319" w:lineRule="auto"/>
      <w:ind w:left="1152" w:hanging="1152"/>
      <w:jc w:val="left"/>
      <w:outlineLvl w:val="5"/>
    </w:pPr>
    <w:rPr>
      <w:rFonts w:ascii="Arial" w:hAnsi="Arial" w:eastAsia="黑体"/>
      <w:b/>
      <w:kern w:val="0"/>
      <w:sz w:val="24"/>
      <w:szCs w:val="20"/>
    </w:rPr>
  </w:style>
  <w:style w:type="paragraph" w:styleId="10">
    <w:name w:val="heading 7"/>
    <w:basedOn w:val="1"/>
    <w:next w:val="11"/>
    <w:link w:val="67"/>
    <w:autoRedefine/>
    <w:qFormat/>
    <w:uiPriority w:val="99"/>
    <w:pPr>
      <w:keepNext/>
      <w:keepLines/>
      <w:widowControl/>
      <w:tabs>
        <w:tab w:val="left" w:pos="2520"/>
      </w:tabs>
      <w:spacing w:before="240" w:after="64" w:line="319" w:lineRule="auto"/>
      <w:ind w:left="1296" w:hanging="1296"/>
      <w:jc w:val="left"/>
      <w:outlineLvl w:val="6"/>
    </w:pPr>
    <w:rPr>
      <w:b/>
      <w:kern w:val="0"/>
      <w:sz w:val="24"/>
      <w:szCs w:val="20"/>
    </w:rPr>
  </w:style>
  <w:style w:type="paragraph" w:styleId="12">
    <w:name w:val="heading 8"/>
    <w:basedOn w:val="1"/>
    <w:next w:val="1"/>
    <w:link w:val="68"/>
    <w:autoRedefine/>
    <w:qFormat/>
    <w:uiPriority w:val="99"/>
    <w:pPr>
      <w:keepNext/>
      <w:keepLines/>
      <w:widowControl/>
      <w:tabs>
        <w:tab w:val="left" w:pos="1440"/>
      </w:tabs>
      <w:spacing w:before="240" w:after="64" w:line="319" w:lineRule="auto"/>
      <w:ind w:left="1440" w:hanging="1440"/>
      <w:jc w:val="left"/>
      <w:outlineLvl w:val="7"/>
    </w:pPr>
    <w:rPr>
      <w:rFonts w:ascii="Arial" w:hAnsi="Arial" w:eastAsia="黑体"/>
      <w:kern w:val="0"/>
      <w:sz w:val="24"/>
      <w:szCs w:val="20"/>
    </w:rPr>
  </w:style>
  <w:style w:type="paragraph" w:styleId="13">
    <w:name w:val="heading 9"/>
    <w:basedOn w:val="1"/>
    <w:next w:val="1"/>
    <w:link w:val="69"/>
    <w:autoRedefine/>
    <w:qFormat/>
    <w:uiPriority w:val="99"/>
    <w:pPr>
      <w:keepNext/>
      <w:keepLines/>
      <w:widowControl/>
      <w:tabs>
        <w:tab w:val="left" w:pos="1584"/>
      </w:tabs>
      <w:spacing w:before="240" w:after="64" w:line="319" w:lineRule="auto"/>
      <w:ind w:left="1584" w:hanging="1584"/>
      <w:jc w:val="left"/>
      <w:outlineLvl w:val="8"/>
    </w:pPr>
    <w:rPr>
      <w:rFonts w:ascii="Arial" w:hAnsi="Arial" w:eastAsia="黑体"/>
      <w:kern w:val="0"/>
      <w:szCs w:val="20"/>
    </w:rPr>
  </w:style>
  <w:style w:type="character" w:default="1" w:styleId="52">
    <w:name w:val="Default Paragraph Font"/>
    <w:autoRedefine/>
    <w:semiHidden/>
    <w:unhideWhenUsed/>
    <w:qFormat/>
    <w:uiPriority w:val="1"/>
  </w:style>
  <w:style w:type="table" w:default="1" w:styleId="50">
    <w:name w:val="Normal Table"/>
    <w:autoRedefine/>
    <w:semiHidden/>
    <w:unhideWhenUsed/>
    <w:uiPriority w:val="99"/>
    <w:tblPr>
      <w:tblCellMar>
        <w:top w:w="0" w:type="dxa"/>
        <w:left w:w="108" w:type="dxa"/>
        <w:bottom w:w="0" w:type="dxa"/>
        <w:right w:w="108" w:type="dxa"/>
      </w:tblCellMar>
    </w:tblPr>
  </w:style>
  <w:style w:type="paragraph" w:styleId="2">
    <w:name w:val="Body Text First Indent 2"/>
    <w:basedOn w:val="3"/>
    <w:link w:val="575"/>
    <w:autoRedefine/>
    <w:unhideWhenUsed/>
    <w:qFormat/>
    <w:locked/>
    <w:uiPriority w:val="0"/>
    <w:pPr>
      <w:spacing w:after="120" w:line="240" w:lineRule="auto"/>
      <w:ind w:left="420" w:leftChars="200" w:firstLine="200" w:firstLineChars="200"/>
    </w:pPr>
    <w:rPr>
      <w:rFonts w:ascii="Times New Roman"/>
      <w:sz w:val="21"/>
      <w:szCs w:val="24"/>
    </w:rPr>
  </w:style>
  <w:style w:type="paragraph" w:styleId="3">
    <w:name w:val="Body Text Indent"/>
    <w:basedOn w:val="1"/>
    <w:link w:val="75"/>
    <w:autoRedefine/>
    <w:qFormat/>
    <w:uiPriority w:val="99"/>
    <w:pPr>
      <w:spacing w:line="360" w:lineRule="auto"/>
      <w:ind w:firstLine="420"/>
    </w:pPr>
    <w:rPr>
      <w:rFonts w:ascii="宋体"/>
      <w:sz w:val="24"/>
      <w:szCs w:val="20"/>
    </w:rPr>
  </w:style>
  <w:style w:type="paragraph" w:styleId="11">
    <w:name w:val="Normal Indent"/>
    <w:basedOn w:val="1"/>
    <w:link w:val="66"/>
    <w:autoRedefine/>
    <w:qFormat/>
    <w:uiPriority w:val="99"/>
    <w:pPr>
      <w:ind w:firstLine="420"/>
    </w:pPr>
    <w:rPr>
      <w:b/>
      <w:sz w:val="24"/>
      <w:szCs w:val="20"/>
    </w:rPr>
  </w:style>
  <w:style w:type="paragraph" w:styleId="14">
    <w:name w:val="toc 7"/>
    <w:basedOn w:val="1"/>
    <w:next w:val="1"/>
    <w:autoRedefine/>
    <w:qFormat/>
    <w:uiPriority w:val="39"/>
    <w:pPr>
      <w:ind w:left="2520" w:leftChars="1200"/>
    </w:pPr>
  </w:style>
  <w:style w:type="paragraph" w:styleId="15">
    <w:name w:val="caption"/>
    <w:basedOn w:val="1"/>
    <w:next w:val="1"/>
    <w:autoRedefine/>
    <w:qFormat/>
    <w:uiPriority w:val="99"/>
    <w:rPr>
      <w:rFonts w:ascii="Cambria" w:hAnsi="Cambria" w:eastAsia="黑体"/>
      <w:sz w:val="20"/>
      <w:szCs w:val="20"/>
    </w:rPr>
  </w:style>
  <w:style w:type="paragraph" w:styleId="16">
    <w:name w:val="Document Map"/>
    <w:basedOn w:val="1"/>
    <w:link w:val="70"/>
    <w:autoRedefine/>
    <w:qFormat/>
    <w:uiPriority w:val="99"/>
    <w:pPr>
      <w:shd w:val="clear" w:color="auto" w:fill="000080"/>
    </w:pPr>
    <w:rPr>
      <w:sz w:val="24"/>
      <w:szCs w:val="20"/>
    </w:rPr>
  </w:style>
  <w:style w:type="paragraph" w:styleId="17">
    <w:name w:val="toa heading"/>
    <w:basedOn w:val="1"/>
    <w:next w:val="1"/>
    <w:autoRedefine/>
    <w:qFormat/>
    <w:locked/>
    <w:uiPriority w:val="0"/>
    <w:pPr>
      <w:adjustRightInd w:val="0"/>
      <w:spacing w:line="360" w:lineRule="atLeast"/>
      <w:jc w:val="center"/>
      <w:textAlignment w:val="baseline"/>
    </w:pPr>
    <w:rPr>
      <w:rFonts w:ascii="Arial" w:hAnsi="Arial" w:eastAsia="黑体"/>
      <w:kern w:val="0"/>
      <w:sz w:val="36"/>
      <w:szCs w:val="20"/>
    </w:rPr>
  </w:style>
  <w:style w:type="paragraph" w:styleId="18">
    <w:name w:val="annotation text"/>
    <w:basedOn w:val="1"/>
    <w:link w:val="71"/>
    <w:autoRedefine/>
    <w:qFormat/>
    <w:uiPriority w:val="99"/>
    <w:pPr>
      <w:jc w:val="left"/>
    </w:pPr>
    <w:rPr>
      <w:szCs w:val="20"/>
    </w:rPr>
  </w:style>
  <w:style w:type="paragraph" w:styleId="19">
    <w:name w:val="Salutation"/>
    <w:basedOn w:val="1"/>
    <w:next w:val="1"/>
    <w:link w:val="72"/>
    <w:autoRedefine/>
    <w:qFormat/>
    <w:locked/>
    <w:uiPriority w:val="0"/>
    <w:pPr>
      <w:widowControl/>
      <w:jc w:val="left"/>
    </w:pPr>
    <w:rPr>
      <w:kern w:val="0"/>
      <w:sz w:val="30"/>
      <w:szCs w:val="20"/>
    </w:rPr>
  </w:style>
  <w:style w:type="paragraph" w:styleId="20">
    <w:name w:val="Body Text 3"/>
    <w:basedOn w:val="1"/>
    <w:link w:val="73"/>
    <w:autoRedefine/>
    <w:qFormat/>
    <w:uiPriority w:val="99"/>
    <w:rPr>
      <w:rFonts w:ascii="宋体"/>
      <w:sz w:val="24"/>
      <w:szCs w:val="20"/>
    </w:rPr>
  </w:style>
  <w:style w:type="paragraph" w:styleId="21">
    <w:name w:val="Body Text"/>
    <w:basedOn w:val="1"/>
    <w:link w:val="74"/>
    <w:autoRedefine/>
    <w:qFormat/>
    <w:uiPriority w:val="99"/>
    <w:pPr>
      <w:spacing w:after="120"/>
    </w:pPr>
    <w:rPr>
      <w:sz w:val="24"/>
      <w:szCs w:val="20"/>
    </w:rPr>
  </w:style>
  <w:style w:type="paragraph" w:styleId="22">
    <w:name w:val="Block Text"/>
    <w:basedOn w:val="1"/>
    <w:autoRedefine/>
    <w:qFormat/>
    <w:locked/>
    <w:uiPriority w:val="0"/>
    <w:pPr>
      <w:spacing w:line="360" w:lineRule="auto"/>
      <w:ind w:right="210" w:rightChars="100" w:firstLine="560" w:firstLineChars="200"/>
    </w:pPr>
    <w:rPr>
      <w:rFonts w:ascii="宋体" w:hAnsi="宋体"/>
      <w:color w:val="000000"/>
      <w:spacing w:val="20"/>
      <w:kern w:val="24"/>
      <w:sz w:val="24"/>
      <w:szCs w:val="18"/>
    </w:rPr>
  </w:style>
  <w:style w:type="paragraph" w:styleId="23">
    <w:name w:val="index 4"/>
    <w:basedOn w:val="1"/>
    <w:next w:val="1"/>
    <w:autoRedefine/>
    <w:qFormat/>
    <w:locked/>
    <w:uiPriority w:val="0"/>
    <w:pPr>
      <w:ind w:left="600" w:leftChars="600"/>
    </w:pPr>
  </w:style>
  <w:style w:type="paragraph" w:styleId="24">
    <w:name w:val="toc 5"/>
    <w:basedOn w:val="1"/>
    <w:next w:val="1"/>
    <w:autoRedefine/>
    <w:qFormat/>
    <w:uiPriority w:val="39"/>
    <w:pPr>
      <w:ind w:left="1680" w:leftChars="800"/>
    </w:pPr>
  </w:style>
  <w:style w:type="paragraph" w:styleId="25">
    <w:name w:val="toc 3"/>
    <w:basedOn w:val="1"/>
    <w:next w:val="1"/>
    <w:autoRedefine/>
    <w:qFormat/>
    <w:uiPriority w:val="39"/>
    <w:pPr>
      <w:ind w:left="840" w:leftChars="400"/>
    </w:pPr>
  </w:style>
  <w:style w:type="paragraph" w:styleId="26">
    <w:name w:val="Plain Text"/>
    <w:basedOn w:val="1"/>
    <w:link w:val="76"/>
    <w:autoRedefine/>
    <w:qFormat/>
    <w:uiPriority w:val="99"/>
    <w:rPr>
      <w:rFonts w:ascii="宋体" w:hAnsi="Courier New"/>
      <w:sz w:val="28"/>
      <w:szCs w:val="20"/>
    </w:rPr>
  </w:style>
  <w:style w:type="paragraph" w:styleId="27">
    <w:name w:val="toc 8"/>
    <w:basedOn w:val="1"/>
    <w:next w:val="1"/>
    <w:autoRedefine/>
    <w:qFormat/>
    <w:uiPriority w:val="39"/>
    <w:pPr>
      <w:ind w:left="2940" w:leftChars="1400"/>
    </w:pPr>
  </w:style>
  <w:style w:type="paragraph" w:styleId="28">
    <w:name w:val="Date"/>
    <w:basedOn w:val="1"/>
    <w:next w:val="1"/>
    <w:link w:val="77"/>
    <w:autoRedefine/>
    <w:qFormat/>
    <w:uiPriority w:val="99"/>
    <w:pPr>
      <w:ind w:left="100" w:leftChars="2500"/>
    </w:pPr>
    <w:rPr>
      <w:kern w:val="0"/>
      <w:sz w:val="24"/>
      <w:szCs w:val="20"/>
    </w:rPr>
  </w:style>
  <w:style w:type="paragraph" w:styleId="29">
    <w:name w:val="Body Text Indent 2"/>
    <w:basedOn w:val="1"/>
    <w:link w:val="78"/>
    <w:autoRedefine/>
    <w:qFormat/>
    <w:uiPriority w:val="99"/>
    <w:pPr>
      <w:spacing w:line="420" w:lineRule="exact"/>
      <w:ind w:firstLine="525"/>
    </w:pPr>
    <w:rPr>
      <w:rFonts w:ascii="宋体"/>
      <w:szCs w:val="20"/>
    </w:rPr>
  </w:style>
  <w:style w:type="paragraph" w:styleId="30">
    <w:name w:val="Balloon Text"/>
    <w:basedOn w:val="1"/>
    <w:link w:val="79"/>
    <w:autoRedefine/>
    <w:qFormat/>
    <w:uiPriority w:val="99"/>
    <w:rPr>
      <w:sz w:val="18"/>
      <w:szCs w:val="20"/>
    </w:rPr>
  </w:style>
  <w:style w:type="paragraph" w:styleId="31">
    <w:name w:val="footer"/>
    <w:basedOn w:val="1"/>
    <w:link w:val="80"/>
    <w:autoRedefine/>
    <w:qFormat/>
    <w:uiPriority w:val="99"/>
    <w:pPr>
      <w:tabs>
        <w:tab w:val="center" w:pos="4153"/>
        <w:tab w:val="right" w:pos="8306"/>
      </w:tabs>
      <w:snapToGrid w:val="0"/>
      <w:jc w:val="left"/>
    </w:pPr>
    <w:rPr>
      <w:sz w:val="18"/>
      <w:szCs w:val="20"/>
    </w:rPr>
  </w:style>
  <w:style w:type="paragraph" w:styleId="32">
    <w:name w:val="envelope return"/>
    <w:basedOn w:val="1"/>
    <w:autoRedefine/>
    <w:qFormat/>
    <w:locked/>
    <w:uiPriority w:val="0"/>
    <w:pPr>
      <w:snapToGrid w:val="0"/>
    </w:pPr>
    <w:rPr>
      <w:rFonts w:ascii="Arial" w:hAnsi="Arial" w:cs="Arial"/>
    </w:rPr>
  </w:style>
  <w:style w:type="paragraph" w:styleId="33">
    <w:name w:val="header"/>
    <w:basedOn w:val="1"/>
    <w:link w:val="8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20"/>
    </w:rPr>
  </w:style>
  <w:style w:type="paragraph" w:styleId="34">
    <w:name w:val="toc 1"/>
    <w:basedOn w:val="1"/>
    <w:next w:val="1"/>
    <w:autoRedefine/>
    <w:qFormat/>
    <w:uiPriority w:val="39"/>
  </w:style>
  <w:style w:type="paragraph" w:styleId="35">
    <w:name w:val="toc 4"/>
    <w:basedOn w:val="1"/>
    <w:next w:val="1"/>
    <w:autoRedefine/>
    <w:qFormat/>
    <w:uiPriority w:val="39"/>
    <w:pPr>
      <w:ind w:left="1260" w:leftChars="600"/>
    </w:pPr>
  </w:style>
  <w:style w:type="paragraph" w:styleId="36">
    <w:name w:val="Subtitle"/>
    <w:basedOn w:val="1"/>
    <w:next w:val="1"/>
    <w:link w:val="82"/>
    <w:autoRedefine/>
    <w:qFormat/>
    <w:uiPriority w:val="99"/>
    <w:pPr>
      <w:spacing w:before="240" w:after="60" w:line="312" w:lineRule="auto"/>
      <w:jc w:val="center"/>
      <w:outlineLvl w:val="1"/>
    </w:pPr>
    <w:rPr>
      <w:rFonts w:ascii="Cambria" w:hAnsi="Cambria"/>
      <w:b/>
      <w:kern w:val="28"/>
      <w:sz w:val="32"/>
      <w:szCs w:val="20"/>
    </w:rPr>
  </w:style>
  <w:style w:type="paragraph" w:styleId="37">
    <w:name w:val="footnote text"/>
    <w:basedOn w:val="1"/>
    <w:link w:val="83"/>
    <w:autoRedefine/>
    <w:qFormat/>
    <w:uiPriority w:val="99"/>
    <w:rPr>
      <w:sz w:val="20"/>
      <w:szCs w:val="20"/>
    </w:rPr>
  </w:style>
  <w:style w:type="paragraph" w:styleId="38">
    <w:name w:val="toc 6"/>
    <w:basedOn w:val="1"/>
    <w:next w:val="1"/>
    <w:autoRedefine/>
    <w:qFormat/>
    <w:uiPriority w:val="39"/>
    <w:pPr>
      <w:ind w:left="2100" w:leftChars="1000"/>
    </w:pPr>
  </w:style>
  <w:style w:type="paragraph" w:styleId="39">
    <w:name w:val="Body Text Indent 3"/>
    <w:basedOn w:val="1"/>
    <w:link w:val="84"/>
    <w:autoRedefine/>
    <w:qFormat/>
    <w:uiPriority w:val="0"/>
    <w:pPr>
      <w:spacing w:after="120"/>
      <w:ind w:left="420" w:leftChars="200"/>
    </w:pPr>
    <w:rPr>
      <w:sz w:val="16"/>
      <w:szCs w:val="20"/>
    </w:rPr>
  </w:style>
  <w:style w:type="paragraph" w:styleId="40">
    <w:name w:val="table of figures"/>
    <w:basedOn w:val="1"/>
    <w:next w:val="1"/>
    <w:autoRedefine/>
    <w:qFormat/>
    <w:uiPriority w:val="99"/>
    <w:pPr>
      <w:ind w:left="200" w:leftChars="200" w:hanging="200" w:hangingChars="200"/>
    </w:pPr>
  </w:style>
  <w:style w:type="paragraph" w:styleId="41">
    <w:name w:val="toc 2"/>
    <w:basedOn w:val="1"/>
    <w:next w:val="1"/>
    <w:autoRedefine/>
    <w:qFormat/>
    <w:uiPriority w:val="39"/>
    <w:pPr>
      <w:ind w:left="420" w:leftChars="200"/>
    </w:pPr>
  </w:style>
  <w:style w:type="paragraph" w:styleId="42">
    <w:name w:val="toc 9"/>
    <w:basedOn w:val="1"/>
    <w:next w:val="1"/>
    <w:autoRedefine/>
    <w:qFormat/>
    <w:uiPriority w:val="39"/>
    <w:pPr>
      <w:ind w:left="3360" w:leftChars="1600"/>
    </w:pPr>
  </w:style>
  <w:style w:type="paragraph" w:styleId="43">
    <w:name w:val="Body Text 2"/>
    <w:basedOn w:val="1"/>
    <w:link w:val="85"/>
    <w:autoRedefine/>
    <w:qFormat/>
    <w:locked/>
    <w:uiPriority w:val="0"/>
    <w:pPr>
      <w:tabs>
        <w:tab w:val="left" w:pos="851"/>
      </w:tabs>
      <w:spacing w:line="320" w:lineRule="exact"/>
      <w:ind w:right="-108"/>
      <w:jc w:val="center"/>
    </w:pPr>
    <w:rPr>
      <w:kern w:val="0"/>
      <w:sz w:val="24"/>
      <w:szCs w:val="20"/>
    </w:rPr>
  </w:style>
  <w:style w:type="paragraph" w:styleId="44">
    <w:name w:val="List Continue 2"/>
    <w:basedOn w:val="1"/>
    <w:autoRedefine/>
    <w:qFormat/>
    <w:uiPriority w:val="99"/>
    <w:pPr>
      <w:spacing w:after="120"/>
      <w:ind w:left="840"/>
    </w:pPr>
  </w:style>
  <w:style w:type="paragraph" w:styleId="45">
    <w:name w:val="HTML Preformatted"/>
    <w:basedOn w:val="1"/>
    <w:link w:val="86"/>
    <w:autoRedefine/>
    <w:qFormat/>
    <w:uiPriority w:val="99"/>
    <w:rPr>
      <w:rFonts w:ascii="Courier New" w:hAnsi="Courier New"/>
      <w:sz w:val="20"/>
      <w:szCs w:val="20"/>
    </w:rPr>
  </w:style>
  <w:style w:type="paragraph" w:styleId="46">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47">
    <w:name w:val="Title"/>
    <w:basedOn w:val="1"/>
    <w:link w:val="87"/>
    <w:autoRedefine/>
    <w:qFormat/>
    <w:uiPriority w:val="99"/>
    <w:pPr>
      <w:adjustRightInd w:val="0"/>
      <w:spacing w:before="240" w:after="60" w:line="420" w:lineRule="atLeast"/>
      <w:jc w:val="center"/>
      <w:textAlignment w:val="baseline"/>
      <w:outlineLvl w:val="0"/>
    </w:pPr>
    <w:rPr>
      <w:rFonts w:ascii="Arial" w:hAnsi="Arial"/>
      <w:b/>
      <w:kern w:val="0"/>
      <w:sz w:val="32"/>
      <w:szCs w:val="20"/>
    </w:rPr>
  </w:style>
  <w:style w:type="paragraph" w:styleId="48">
    <w:name w:val="annotation subject"/>
    <w:basedOn w:val="18"/>
    <w:next w:val="18"/>
    <w:link w:val="88"/>
    <w:autoRedefine/>
    <w:qFormat/>
    <w:uiPriority w:val="99"/>
    <w:rPr>
      <w:b/>
      <w:sz w:val="24"/>
    </w:rPr>
  </w:style>
  <w:style w:type="paragraph" w:styleId="49">
    <w:name w:val="Body Text First Indent"/>
    <w:basedOn w:val="1"/>
    <w:link w:val="89"/>
    <w:autoRedefine/>
    <w:qFormat/>
    <w:locked/>
    <w:uiPriority w:val="0"/>
    <w:pPr>
      <w:ind w:firstLine="420" w:firstLineChars="100"/>
    </w:pPr>
    <w:rPr>
      <w:rFonts w:eastAsia="仿宋_GB2312"/>
      <w:b/>
      <w:bCs/>
      <w:kern w:val="0"/>
      <w:sz w:val="20"/>
    </w:rPr>
  </w:style>
  <w:style w:type="table" w:styleId="51">
    <w:name w:val="Table Grid"/>
    <w:basedOn w:val="50"/>
    <w:autoRedefine/>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53">
    <w:name w:val="Strong"/>
    <w:autoRedefine/>
    <w:qFormat/>
    <w:uiPriority w:val="99"/>
    <w:rPr>
      <w:rFonts w:cs="Times New Roman"/>
      <w:b/>
    </w:rPr>
  </w:style>
  <w:style w:type="character" w:styleId="54">
    <w:name w:val="page number"/>
    <w:autoRedefine/>
    <w:qFormat/>
    <w:uiPriority w:val="99"/>
    <w:rPr>
      <w:rFonts w:cs="Times New Roman"/>
    </w:rPr>
  </w:style>
  <w:style w:type="character" w:styleId="55">
    <w:name w:val="FollowedHyperlink"/>
    <w:autoRedefine/>
    <w:qFormat/>
    <w:uiPriority w:val="99"/>
    <w:rPr>
      <w:rFonts w:cs="Times New Roman"/>
      <w:color w:val="800080"/>
      <w:u w:val="single"/>
    </w:rPr>
  </w:style>
  <w:style w:type="character" w:styleId="56">
    <w:name w:val="Emphasis"/>
    <w:autoRedefine/>
    <w:qFormat/>
    <w:uiPriority w:val="99"/>
    <w:rPr>
      <w:rFonts w:cs="Times New Roman"/>
      <w:i/>
    </w:rPr>
  </w:style>
  <w:style w:type="character" w:styleId="57">
    <w:name w:val="Hyperlink"/>
    <w:autoRedefine/>
    <w:qFormat/>
    <w:uiPriority w:val="99"/>
    <w:rPr>
      <w:rFonts w:cs="Times New Roman"/>
      <w:color w:val="0000FF"/>
      <w:u w:val="single"/>
    </w:rPr>
  </w:style>
  <w:style w:type="character" w:styleId="58">
    <w:name w:val="annotation reference"/>
    <w:autoRedefine/>
    <w:qFormat/>
    <w:uiPriority w:val="99"/>
    <w:rPr>
      <w:rFonts w:cs="Times New Roman"/>
      <w:sz w:val="21"/>
    </w:rPr>
  </w:style>
  <w:style w:type="character" w:styleId="59">
    <w:name w:val="footnote reference"/>
    <w:autoRedefine/>
    <w:qFormat/>
    <w:uiPriority w:val="99"/>
    <w:rPr>
      <w:rFonts w:cs="Times New Roman"/>
      <w:vertAlign w:val="superscript"/>
    </w:rPr>
  </w:style>
  <w:style w:type="character" w:customStyle="1" w:styleId="60">
    <w:name w:val="标题 1 Char"/>
    <w:link w:val="4"/>
    <w:autoRedefine/>
    <w:qFormat/>
    <w:locked/>
    <w:uiPriority w:val="99"/>
    <w:rPr>
      <w:rFonts w:cs="Times New Roman"/>
      <w:b/>
      <w:kern w:val="44"/>
      <w:sz w:val="44"/>
    </w:rPr>
  </w:style>
  <w:style w:type="character" w:customStyle="1" w:styleId="61">
    <w:name w:val="标题 2 Char"/>
    <w:link w:val="5"/>
    <w:autoRedefine/>
    <w:qFormat/>
    <w:locked/>
    <w:uiPriority w:val="99"/>
    <w:rPr>
      <w:rFonts w:ascii="Arial" w:hAnsi="Arial" w:eastAsia="黑体" w:cs="Times New Roman"/>
      <w:b/>
      <w:kern w:val="2"/>
      <w:sz w:val="32"/>
    </w:rPr>
  </w:style>
  <w:style w:type="character" w:customStyle="1" w:styleId="62">
    <w:name w:val="标题 3 Char1"/>
    <w:link w:val="6"/>
    <w:autoRedefine/>
    <w:qFormat/>
    <w:locked/>
    <w:uiPriority w:val="99"/>
    <w:rPr>
      <w:rFonts w:hAnsi="黑体" w:eastAsia="黑体" w:cs="Times New Roman"/>
      <w:kern w:val="2"/>
      <w:sz w:val="24"/>
    </w:rPr>
  </w:style>
  <w:style w:type="character" w:customStyle="1" w:styleId="63">
    <w:name w:val="标题 4 Char1"/>
    <w:link w:val="7"/>
    <w:autoRedefine/>
    <w:qFormat/>
    <w:locked/>
    <w:uiPriority w:val="99"/>
    <w:rPr>
      <w:rFonts w:ascii="Cambria" w:hAnsi="Cambria" w:eastAsia="宋体" w:cs="Times New Roman"/>
      <w:b/>
      <w:kern w:val="2"/>
      <w:sz w:val="28"/>
    </w:rPr>
  </w:style>
  <w:style w:type="character" w:customStyle="1" w:styleId="64">
    <w:name w:val="标题 5 Char"/>
    <w:link w:val="8"/>
    <w:autoRedefine/>
    <w:qFormat/>
    <w:locked/>
    <w:uiPriority w:val="99"/>
    <w:rPr>
      <w:rFonts w:cs="Times New Roman"/>
      <w:b/>
      <w:kern w:val="2"/>
      <w:sz w:val="28"/>
    </w:rPr>
  </w:style>
  <w:style w:type="character" w:customStyle="1" w:styleId="65">
    <w:name w:val="标题 6 Char"/>
    <w:link w:val="9"/>
    <w:autoRedefine/>
    <w:qFormat/>
    <w:locked/>
    <w:uiPriority w:val="99"/>
    <w:rPr>
      <w:rFonts w:ascii="Arial" w:hAnsi="Arial" w:eastAsia="黑体" w:cs="Times New Roman"/>
      <w:b/>
      <w:sz w:val="24"/>
    </w:rPr>
  </w:style>
  <w:style w:type="character" w:customStyle="1" w:styleId="66">
    <w:name w:val="正文缩进 Char"/>
    <w:link w:val="11"/>
    <w:autoRedefine/>
    <w:qFormat/>
    <w:locked/>
    <w:uiPriority w:val="99"/>
    <w:rPr>
      <w:b/>
      <w:kern w:val="2"/>
      <w:sz w:val="24"/>
    </w:rPr>
  </w:style>
  <w:style w:type="character" w:customStyle="1" w:styleId="67">
    <w:name w:val="标题 7 Char"/>
    <w:link w:val="10"/>
    <w:autoRedefine/>
    <w:qFormat/>
    <w:locked/>
    <w:uiPriority w:val="99"/>
    <w:rPr>
      <w:rFonts w:cs="Times New Roman"/>
      <w:b/>
      <w:sz w:val="24"/>
    </w:rPr>
  </w:style>
  <w:style w:type="character" w:customStyle="1" w:styleId="68">
    <w:name w:val="标题 8 Char"/>
    <w:link w:val="12"/>
    <w:autoRedefine/>
    <w:qFormat/>
    <w:locked/>
    <w:uiPriority w:val="99"/>
    <w:rPr>
      <w:rFonts w:ascii="Arial" w:hAnsi="Arial" w:eastAsia="黑体" w:cs="Times New Roman"/>
      <w:sz w:val="24"/>
    </w:rPr>
  </w:style>
  <w:style w:type="character" w:customStyle="1" w:styleId="69">
    <w:name w:val="标题 9 Char"/>
    <w:link w:val="13"/>
    <w:autoRedefine/>
    <w:qFormat/>
    <w:locked/>
    <w:uiPriority w:val="99"/>
    <w:rPr>
      <w:rFonts w:ascii="Arial" w:hAnsi="Arial" w:eastAsia="黑体" w:cs="Times New Roman"/>
      <w:sz w:val="21"/>
    </w:rPr>
  </w:style>
  <w:style w:type="character" w:customStyle="1" w:styleId="70">
    <w:name w:val="文档结构图 Char1"/>
    <w:link w:val="16"/>
    <w:autoRedefine/>
    <w:qFormat/>
    <w:locked/>
    <w:uiPriority w:val="99"/>
    <w:rPr>
      <w:rFonts w:cs="Times New Roman"/>
      <w:kern w:val="2"/>
      <w:sz w:val="24"/>
      <w:shd w:val="clear" w:color="auto" w:fill="000080"/>
    </w:rPr>
  </w:style>
  <w:style w:type="character" w:customStyle="1" w:styleId="71">
    <w:name w:val="批注文字 Char2"/>
    <w:link w:val="18"/>
    <w:autoRedefine/>
    <w:qFormat/>
    <w:locked/>
    <w:uiPriority w:val="99"/>
    <w:rPr>
      <w:rFonts w:cs="Times New Roman"/>
      <w:kern w:val="2"/>
      <w:sz w:val="21"/>
    </w:rPr>
  </w:style>
  <w:style w:type="character" w:customStyle="1" w:styleId="72">
    <w:name w:val="称呼 Char"/>
    <w:link w:val="19"/>
    <w:autoRedefine/>
    <w:qFormat/>
    <w:uiPriority w:val="0"/>
    <w:rPr>
      <w:sz w:val="30"/>
    </w:rPr>
  </w:style>
  <w:style w:type="character" w:customStyle="1" w:styleId="73">
    <w:name w:val="正文文本 3 Char1"/>
    <w:link w:val="20"/>
    <w:autoRedefine/>
    <w:qFormat/>
    <w:locked/>
    <w:uiPriority w:val="99"/>
    <w:rPr>
      <w:rFonts w:ascii="宋体" w:cs="Times New Roman"/>
      <w:kern w:val="2"/>
      <w:sz w:val="24"/>
    </w:rPr>
  </w:style>
  <w:style w:type="character" w:customStyle="1" w:styleId="74">
    <w:name w:val="正文文本 Char1"/>
    <w:link w:val="21"/>
    <w:autoRedefine/>
    <w:qFormat/>
    <w:locked/>
    <w:uiPriority w:val="99"/>
    <w:rPr>
      <w:rFonts w:cs="Times New Roman"/>
      <w:kern w:val="2"/>
      <w:sz w:val="24"/>
    </w:rPr>
  </w:style>
  <w:style w:type="character" w:customStyle="1" w:styleId="75">
    <w:name w:val="正文文本缩进 Char1"/>
    <w:link w:val="3"/>
    <w:autoRedefine/>
    <w:qFormat/>
    <w:locked/>
    <w:uiPriority w:val="99"/>
    <w:rPr>
      <w:rFonts w:ascii="宋体" w:cs="Times New Roman"/>
      <w:kern w:val="2"/>
      <w:sz w:val="24"/>
    </w:rPr>
  </w:style>
  <w:style w:type="character" w:customStyle="1" w:styleId="76">
    <w:name w:val="纯文本 Char1"/>
    <w:link w:val="26"/>
    <w:autoRedefine/>
    <w:qFormat/>
    <w:locked/>
    <w:uiPriority w:val="99"/>
    <w:rPr>
      <w:rFonts w:ascii="宋体" w:hAnsi="Courier New" w:cs="Times New Roman"/>
      <w:kern w:val="2"/>
      <w:sz w:val="28"/>
    </w:rPr>
  </w:style>
  <w:style w:type="character" w:customStyle="1" w:styleId="77">
    <w:name w:val="日期 Char"/>
    <w:link w:val="28"/>
    <w:autoRedefine/>
    <w:qFormat/>
    <w:locked/>
    <w:uiPriority w:val="99"/>
    <w:rPr>
      <w:rFonts w:cs="Times New Roman"/>
      <w:sz w:val="24"/>
    </w:rPr>
  </w:style>
  <w:style w:type="character" w:customStyle="1" w:styleId="78">
    <w:name w:val="正文文本缩进 2 Char1"/>
    <w:link w:val="29"/>
    <w:autoRedefine/>
    <w:qFormat/>
    <w:locked/>
    <w:uiPriority w:val="99"/>
    <w:rPr>
      <w:rFonts w:ascii="宋体" w:cs="Times New Roman"/>
      <w:kern w:val="2"/>
      <w:sz w:val="21"/>
    </w:rPr>
  </w:style>
  <w:style w:type="character" w:customStyle="1" w:styleId="79">
    <w:name w:val="批注框文本 Char1"/>
    <w:link w:val="30"/>
    <w:autoRedefine/>
    <w:qFormat/>
    <w:locked/>
    <w:uiPriority w:val="99"/>
    <w:rPr>
      <w:rFonts w:cs="Times New Roman"/>
      <w:kern w:val="2"/>
      <w:sz w:val="18"/>
    </w:rPr>
  </w:style>
  <w:style w:type="character" w:customStyle="1" w:styleId="80">
    <w:name w:val="页脚 Char2"/>
    <w:link w:val="31"/>
    <w:autoRedefine/>
    <w:qFormat/>
    <w:locked/>
    <w:uiPriority w:val="99"/>
    <w:rPr>
      <w:rFonts w:eastAsia="宋体" w:cs="Times New Roman"/>
      <w:kern w:val="2"/>
      <w:sz w:val="18"/>
    </w:rPr>
  </w:style>
  <w:style w:type="character" w:customStyle="1" w:styleId="81">
    <w:name w:val="页眉 Char2"/>
    <w:link w:val="33"/>
    <w:autoRedefine/>
    <w:qFormat/>
    <w:locked/>
    <w:uiPriority w:val="99"/>
    <w:rPr>
      <w:rFonts w:eastAsia="宋体" w:cs="Times New Roman"/>
      <w:kern w:val="2"/>
      <w:sz w:val="18"/>
      <w:lang w:val="en-US" w:eastAsia="zh-CN"/>
    </w:rPr>
  </w:style>
  <w:style w:type="character" w:customStyle="1" w:styleId="82">
    <w:name w:val="副标题 Char1"/>
    <w:link w:val="36"/>
    <w:autoRedefine/>
    <w:qFormat/>
    <w:locked/>
    <w:uiPriority w:val="99"/>
    <w:rPr>
      <w:rFonts w:ascii="Cambria" w:hAnsi="Cambria" w:cs="Times New Roman"/>
      <w:b/>
      <w:kern w:val="28"/>
      <w:sz w:val="32"/>
    </w:rPr>
  </w:style>
  <w:style w:type="character" w:customStyle="1" w:styleId="83">
    <w:name w:val="脚注文本 Char1"/>
    <w:link w:val="37"/>
    <w:autoRedefine/>
    <w:qFormat/>
    <w:locked/>
    <w:uiPriority w:val="99"/>
    <w:rPr>
      <w:rFonts w:cs="Times New Roman"/>
      <w:kern w:val="2"/>
    </w:rPr>
  </w:style>
  <w:style w:type="character" w:customStyle="1" w:styleId="84">
    <w:name w:val="正文文本缩进 3 Char1"/>
    <w:link w:val="39"/>
    <w:autoRedefine/>
    <w:qFormat/>
    <w:locked/>
    <w:uiPriority w:val="99"/>
    <w:rPr>
      <w:rFonts w:cs="Times New Roman"/>
      <w:kern w:val="2"/>
      <w:sz w:val="16"/>
    </w:rPr>
  </w:style>
  <w:style w:type="character" w:customStyle="1" w:styleId="85">
    <w:name w:val="正文文本 2 Char"/>
    <w:link w:val="43"/>
    <w:autoRedefine/>
    <w:qFormat/>
    <w:uiPriority w:val="0"/>
    <w:rPr>
      <w:sz w:val="24"/>
    </w:rPr>
  </w:style>
  <w:style w:type="character" w:customStyle="1" w:styleId="86">
    <w:name w:val="HTML 预设格式 Char"/>
    <w:link w:val="45"/>
    <w:autoRedefine/>
    <w:qFormat/>
    <w:locked/>
    <w:uiPriority w:val="99"/>
    <w:rPr>
      <w:rFonts w:ascii="Courier New" w:hAnsi="Courier New" w:cs="Times New Roman"/>
      <w:kern w:val="2"/>
    </w:rPr>
  </w:style>
  <w:style w:type="character" w:customStyle="1" w:styleId="87">
    <w:name w:val="标题 Char1"/>
    <w:link w:val="47"/>
    <w:autoRedefine/>
    <w:qFormat/>
    <w:locked/>
    <w:uiPriority w:val="99"/>
    <w:rPr>
      <w:rFonts w:ascii="Arial" w:hAnsi="Arial" w:cs="Times New Roman"/>
      <w:b/>
      <w:sz w:val="32"/>
    </w:rPr>
  </w:style>
  <w:style w:type="character" w:customStyle="1" w:styleId="88">
    <w:name w:val="批注主题 Char1"/>
    <w:link w:val="48"/>
    <w:autoRedefine/>
    <w:qFormat/>
    <w:locked/>
    <w:uiPriority w:val="99"/>
    <w:rPr>
      <w:rFonts w:cs="Times New Roman"/>
      <w:b/>
      <w:kern w:val="2"/>
      <w:sz w:val="24"/>
    </w:rPr>
  </w:style>
  <w:style w:type="character" w:customStyle="1" w:styleId="89">
    <w:name w:val="正文首行缩进 Char"/>
    <w:link w:val="49"/>
    <w:autoRedefine/>
    <w:qFormat/>
    <w:uiPriority w:val="0"/>
    <w:rPr>
      <w:rFonts w:eastAsia="仿宋_GB2312"/>
      <w:b/>
      <w:bCs/>
      <w:szCs w:val="24"/>
    </w:rPr>
  </w:style>
  <w:style w:type="character" w:customStyle="1" w:styleId="90">
    <w:name w:val="文档结构图 Char"/>
    <w:autoRedefine/>
    <w:qFormat/>
    <w:locked/>
    <w:uiPriority w:val="99"/>
    <w:rPr>
      <w:sz w:val="2"/>
    </w:rPr>
  </w:style>
  <w:style w:type="character" w:customStyle="1" w:styleId="91">
    <w:name w:val="批注文字 Char1"/>
    <w:autoRedefine/>
    <w:qFormat/>
    <w:locked/>
    <w:uiPriority w:val="99"/>
    <w:rPr>
      <w:sz w:val="24"/>
    </w:rPr>
  </w:style>
  <w:style w:type="character" w:customStyle="1" w:styleId="92">
    <w:name w:val="正文文本 3 Char"/>
    <w:autoRedefine/>
    <w:qFormat/>
    <w:locked/>
    <w:uiPriority w:val="99"/>
    <w:rPr>
      <w:sz w:val="16"/>
    </w:rPr>
  </w:style>
  <w:style w:type="character" w:customStyle="1" w:styleId="93">
    <w:name w:val="正文文本 Char"/>
    <w:autoRedefine/>
    <w:qFormat/>
    <w:locked/>
    <w:uiPriority w:val="99"/>
    <w:rPr>
      <w:sz w:val="24"/>
    </w:rPr>
  </w:style>
  <w:style w:type="character" w:customStyle="1" w:styleId="94">
    <w:name w:val="正文文本缩进 Char"/>
    <w:autoRedefine/>
    <w:qFormat/>
    <w:locked/>
    <w:uiPriority w:val="99"/>
    <w:rPr>
      <w:sz w:val="24"/>
    </w:rPr>
  </w:style>
  <w:style w:type="character" w:customStyle="1" w:styleId="95">
    <w:name w:val="纯文本 Char"/>
    <w:autoRedefine/>
    <w:qFormat/>
    <w:locked/>
    <w:uiPriority w:val="99"/>
    <w:rPr>
      <w:rFonts w:ascii="宋体" w:hAnsi="Courier New"/>
      <w:sz w:val="21"/>
    </w:rPr>
  </w:style>
  <w:style w:type="character" w:customStyle="1" w:styleId="96">
    <w:name w:val="正文文本缩进 2 Char"/>
    <w:autoRedefine/>
    <w:qFormat/>
    <w:locked/>
    <w:uiPriority w:val="99"/>
    <w:rPr>
      <w:sz w:val="24"/>
    </w:rPr>
  </w:style>
  <w:style w:type="character" w:customStyle="1" w:styleId="97">
    <w:name w:val="批注框文本 Char"/>
    <w:autoRedefine/>
    <w:qFormat/>
    <w:locked/>
    <w:uiPriority w:val="99"/>
    <w:rPr>
      <w:sz w:val="2"/>
    </w:rPr>
  </w:style>
  <w:style w:type="character" w:customStyle="1" w:styleId="98">
    <w:name w:val="页脚 Char1"/>
    <w:autoRedefine/>
    <w:semiHidden/>
    <w:qFormat/>
    <w:locked/>
    <w:uiPriority w:val="99"/>
    <w:rPr>
      <w:sz w:val="18"/>
    </w:rPr>
  </w:style>
  <w:style w:type="character" w:customStyle="1" w:styleId="99">
    <w:name w:val="页眉 Char1"/>
    <w:autoRedefine/>
    <w:semiHidden/>
    <w:qFormat/>
    <w:locked/>
    <w:uiPriority w:val="99"/>
    <w:rPr>
      <w:sz w:val="18"/>
    </w:rPr>
  </w:style>
  <w:style w:type="character" w:customStyle="1" w:styleId="100">
    <w:name w:val="副标题 Char"/>
    <w:autoRedefine/>
    <w:qFormat/>
    <w:locked/>
    <w:uiPriority w:val="99"/>
    <w:rPr>
      <w:rFonts w:ascii="Cambria" w:hAnsi="Cambria"/>
      <w:b/>
      <w:kern w:val="28"/>
      <w:sz w:val="32"/>
    </w:rPr>
  </w:style>
  <w:style w:type="character" w:customStyle="1" w:styleId="101">
    <w:name w:val="脚注文本 Char"/>
    <w:autoRedefine/>
    <w:qFormat/>
    <w:locked/>
    <w:uiPriority w:val="99"/>
    <w:rPr>
      <w:sz w:val="18"/>
    </w:rPr>
  </w:style>
  <w:style w:type="character" w:customStyle="1" w:styleId="102">
    <w:name w:val="正文文本缩进 3 Char"/>
    <w:autoRedefine/>
    <w:qFormat/>
    <w:locked/>
    <w:uiPriority w:val="99"/>
    <w:rPr>
      <w:sz w:val="16"/>
    </w:rPr>
  </w:style>
  <w:style w:type="character" w:customStyle="1" w:styleId="103">
    <w:name w:val="标题 Char"/>
    <w:autoRedefine/>
    <w:qFormat/>
    <w:locked/>
    <w:uiPriority w:val="99"/>
    <w:rPr>
      <w:rFonts w:ascii="Cambria" w:hAnsi="Cambria"/>
      <w:b/>
      <w:sz w:val="32"/>
    </w:rPr>
  </w:style>
  <w:style w:type="character" w:customStyle="1" w:styleId="104">
    <w:name w:val="批注主题 Char"/>
    <w:autoRedefine/>
    <w:qFormat/>
    <w:locked/>
    <w:uiPriority w:val="99"/>
    <w:rPr>
      <w:b/>
      <w:kern w:val="2"/>
      <w:sz w:val="24"/>
    </w:rPr>
  </w:style>
  <w:style w:type="character" w:customStyle="1" w:styleId="105">
    <w:name w:val="引用 Char"/>
    <w:link w:val="106"/>
    <w:autoRedefine/>
    <w:qFormat/>
    <w:locked/>
    <w:uiPriority w:val="99"/>
    <w:rPr>
      <w:i/>
      <w:color w:val="000000"/>
      <w:sz w:val="24"/>
    </w:rPr>
  </w:style>
  <w:style w:type="paragraph" w:customStyle="1" w:styleId="106">
    <w:name w:val="引用1"/>
    <w:basedOn w:val="1"/>
    <w:next w:val="1"/>
    <w:link w:val="105"/>
    <w:autoRedefine/>
    <w:qFormat/>
    <w:uiPriority w:val="99"/>
    <w:rPr>
      <w:i/>
      <w:color w:val="000000"/>
      <w:kern w:val="0"/>
      <w:sz w:val="24"/>
      <w:szCs w:val="20"/>
    </w:rPr>
  </w:style>
  <w:style w:type="character" w:customStyle="1" w:styleId="107">
    <w:name w:val="书籍标题1"/>
    <w:autoRedefine/>
    <w:qFormat/>
    <w:uiPriority w:val="99"/>
    <w:rPr>
      <w:b/>
      <w:smallCaps/>
      <w:spacing w:val="5"/>
    </w:rPr>
  </w:style>
  <w:style w:type="character" w:customStyle="1" w:styleId="108">
    <w:name w:val="不明显参考1"/>
    <w:autoRedefine/>
    <w:qFormat/>
    <w:uiPriority w:val="99"/>
    <w:rPr>
      <w:smallCaps/>
      <w:color w:val="C0504D"/>
      <w:u w:val="single"/>
    </w:rPr>
  </w:style>
  <w:style w:type="character" w:customStyle="1" w:styleId="109">
    <w:name w:val="无间隔 Char"/>
    <w:link w:val="110"/>
    <w:autoRedefine/>
    <w:qFormat/>
    <w:locked/>
    <w:uiPriority w:val="99"/>
    <w:rPr>
      <w:kern w:val="2"/>
      <w:sz w:val="24"/>
      <w:lang w:val="en-US" w:eastAsia="zh-CN" w:bidi="ar-SA"/>
    </w:rPr>
  </w:style>
  <w:style w:type="paragraph" w:customStyle="1" w:styleId="110">
    <w:name w:val="无间隔1"/>
    <w:link w:val="109"/>
    <w:autoRedefine/>
    <w:qFormat/>
    <w:uiPriority w:val="99"/>
    <w:pPr>
      <w:widowControl w:val="0"/>
      <w:jc w:val="both"/>
    </w:pPr>
    <w:rPr>
      <w:rFonts w:ascii="Times New Roman" w:hAnsi="Times New Roman" w:eastAsia="宋体" w:cs="Times New Roman"/>
      <w:kern w:val="2"/>
      <w:sz w:val="24"/>
      <w:lang w:val="en-US" w:eastAsia="zh-CN" w:bidi="ar-SA"/>
    </w:rPr>
  </w:style>
  <w:style w:type="character" w:customStyle="1" w:styleId="111">
    <w:name w:val="Intense Quote Char"/>
    <w:autoRedefine/>
    <w:qFormat/>
    <w:locked/>
    <w:uiPriority w:val="99"/>
    <w:rPr>
      <w:b/>
      <w:i/>
      <w:color w:val="4F81BD"/>
      <w:kern w:val="2"/>
      <w:sz w:val="24"/>
    </w:rPr>
  </w:style>
  <w:style w:type="character" w:customStyle="1" w:styleId="112">
    <w:name w:val="Char Char8"/>
    <w:autoRedefine/>
    <w:qFormat/>
    <w:uiPriority w:val="99"/>
    <w:rPr>
      <w:rFonts w:ascii="Arial" w:hAnsi="Arial" w:eastAsia="黑体"/>
      <w:b/>
      <w:kern w:val="2"/>
      <w:sz w:val="32"/>
      <w:lang w:val="en-US" w:eastAsia="zh-CN"/>
    </w:rPr>
  </w:style>
  <w:style w:type="character" w:customStyle="1" w:styleId="113">
    <w:name w:val="明显强调1"/>
    <w:autoRedefine/>
    <w:qFormat/>
    <w:uiPriority w:val="99"/>
    <w:rPr>
      <w:b/>
      <w:i/>
      <w:color w:val="4F81BD"/>
    </w:rPr>
  </w:style>
  <w:style w:type="character" w:customStyle="1" w:styleId="114">
    <w:name w:val="批注文字 Char"/>
    <w:autoRedefine/>
    <w:qFormat/>
    <w:uiPriority w:val="99"/>
    <w:rPr>
      <w:rFonts w:eastAsia="宋体"/>
      <w:kern w:val="2"/>
      <w:sz w:val="24"/>
      <w:lang w:val="en-US" w:eastAsia="zh-CN"/>
    </w:rPr>
  </w:style>
  <w:style w:type="character" w:customStyle="1" w:styleId="115">
    <w:name w:val="Char Char"/>
    <w:autoRedefine/>
    <w:qFormat/>
    <w:uiPriority w:val="99"/>
    <w:rPr>
      <w:rFonts w:ascii="Arial" w:hAnsi="Arial" w:eastAsia="黑体"/>
      <w:b/>
      <w:kern w:val="2"/>
      <w:sz w:val="32"/>
      <w:lang w:val="en-US" w:eastAsia="zh-CN"/>
    </w:rPr>
  </w:style>
  <w:style w:type="character" w:customStyle="1" w:styleId="116">
    <w:name w:val="emailstyle17"/>
    <w:autoRedefine/>
    <w:semiHidden/>
    <w:qFormat/>
    <w:uiPriority w:val="99"/>
    <w:rPr>
      <w:rFonts w:ascii="Arial" w:hAnsi="Arial" w:eastAsia="宋体"/>
      <w:color w:val="auto"/>
      <w:sz w:val="20"/>
    </w:rPr>
  </w:style>
  <w:style w:type="character" w:customStyle="1" w:styleId="117">
    <w:name w:val="页眉 Char"/>
    <w:autoRedefine/>
    <w:qFormat/>
    <w:uiPriority w:val="99"/>
    <w:rPr>
      <w:kern w:val="2"/>
      <w:sz w:val="18"/>
    </w:rPr>
  </w:style>
  <w:style w:type="character" w:customStyle="1" w:styleId="118">
    <w:name w:val="Char Char7"/>
    <w:autoRedefine/>
    <w:qFormat/>
    <w:uiPriority w:val="99"/>
    <w:rPr>
      <w:rFonts w:ascii="Arial" w:hAnsi="Arial" w:eastAsia="黑体"/>
      <w:b/>
      <w:kern w:val="2"/>
      <w:sz w:val="32"/>
      <w:lang w:val="en-US" w:eastAsia="zh-CN"/>
    </w:rPr>
  </w:style>
  <w:style w:type="character" w:customStyle="1" w:styleId="119">
    <w:name w:val="Intense Quote Char1"/>
    <w:autoRedefine/>
    <w:qFormat/>
    <w:locked/>
    <w:uiPriority w:val="99"/>
    <w:rPr>
      <w:b/>
      <w:i/>
      <w:color w:val="4F81BD"/>
      <w:kern w:val="2"/>
      <w:sz w:val="24"/>
    </w:rPr>
  </w:style>
  <w:style w:type="paragraph" w:styleId="120">
    <w:name w:val="Intense Quote"/>
    <w:basedOn w:val="1"/>
    <w:next w:val="1"/>
    <w:link w:val="121"/>
    <w:autoRedefine/>
    <w:qFormat/>
    <w:uiPriority w:val="99"/>
    <w:pPr>
      <w:pBdr>
        <w:bottom w:val="single" w:color="4F81BD" w:sz="4" w:space="4"/>
      </w:pBdr>
      <w:spacing w:before="200" w:after="280"/>
      <w:ind w:left="936" w:right="936"/>
    </w:pPr>
    <w:rPr>
      <w:b/>
      <w:i/>
      <w:color w:val="4F81BD"/>
      <w:kern w:val="0"/>
      <w:sz w:val="24"/>
      <w:szCs w:val="20"/>
    </w:rPr>
  </w:style>
  <w:style w:type="character" w:customStyle="1" w:styleId="121">
    <w:name w:val="明显引用 Char1"/>
    <w:link w:val="120"/>
    <w:autoRedefine/>
    <w:qFormat/>
    <w:locked/>
    <w:uiPriority w:val="99"/>
    <w:rPr>
      <w:rFonts w:ascii="Times New Roman" w:hAnsi="Times New Roman" w:cs="Times New Roman"/>
      <w:b/>
      <w:i/>
      <w:color w:val="4F81BD"/>
      <w:sz w:val="24"/>
    </w:rPr>
  </w:style>
  <w:style w:type="character" w:customStyle="1" w:styleId="122">
    <w:name w:val="明显引用 Char"/>
    <w:link w:val="123"/>
    <w:autoRedefine/>
    <w:qFormat/>
    <w:locked/>
    <w:uiPriority w:val="99"/>
    <w:rPr>
      <w:b/>
      <w:i/>
      <w:color w:val="4F81BD"/>
      <w:sz w:val="24"/>
    </w:rPr>
  </w:style>
  <w:style w:type="paragraph" w:customStyle="1" w:styleId="123">
    <w:name w:val="明显引用1"/>
    <w:basedOn w:val="1"/>
    <w:next w:val="1"/>
    <w:link w:val="122"/>
    <w:autoRedefine/>
    <w:qFormat/>
    <w:uiPriority w:val="99"/>
    <w:pPr>
      <w:pBdr>
        <w:bottom w:val="single" w:color="4F81BD" w:sz="4" w:space="4"/>
      </w:pBdr>
      <w:spacing w:before="200" w:after="280"/>
      <w:ind w:left="936" w:right="936"/>
    </w:pPr>
    <w:rPr>
      <w:b/>
      <w:i/>
      <w:color w:val="4F81BD"/>
      <w:kern w:val="0"/>
      <w:sz w:val="24"/>
      <w:szCs w:val="20"/>
    </w:rPr>
  </w:style>
  <w:style w:type="character" w:customStyle="1" w:styleId="124">
    <w:name w:val="不明显强调1"/>
    <w:autoRedefine/>
    <w:qFormat/>
    <w:uiPriority w:val="99"/>
    <w:rPr>
      <w:i/>
      <w:color w:val="808080"/>
    </w:rPr>
  </w:style>
  <w:style w:type="character" w:customStyle="1" w:styleId="125">
    <w:name w:val="标题 4 Char"/>
    <w:autoRedefine/>
    <w:qFormat/>
    <w:uiPriority w:val="99"/>
    <w:rPr>
      <w:rFonts w:ascii="Arial" w:hAnsi="Arial" w:eastAsia="黑体"/>
      <w:b/>
      <w:kern w:val="2"/>
      <w:sz w:val="28"/>
    </w:rPr>
  </w:style>
  <w:style w:type="character" w:customStyle="1" w:styleId="126">
    <w:name w:val="Char Char2"/>
    <w:autoRedefine/>
    <w:qFormat/>
    <w:uiPriority w:val="99"/>
    <w:rPr>
      <w:rFonts w:eastAsia="宋体"/>
      <w:kern w:val="2"/>
      <w:sz w:val="24"/>
      <w:lang w:val="en-US" w:eastAsia="zh-CN"/>
    </w:rPr>
  </w:style>
  <w:style w:type="character" w:customStyle="1" w:styleId="127">
    <w:name w:val="font161"/>
    <w:autoRedefine/>
    <w:qFormat/>
    <w:uiPriority w:val="99"/>
    <w:rPr>
      <w:b/>
      <w:sz w:val="32"/>
    </w:rPr>
  </w:style>
  <w:style w:type="character" w:customStyle="1" w:styleId="128">
    <w:name w:val="样式 Char"/>
    <w:link w:val="129"/>
    <w:autoRedefine/>
    <w:qFormat/>
    <w:locked/>
    <w:uiPriority w:val="99"/>
    <w:rPr>
      <w:rFonts w:ascii="宋体"/>
      <w:sz w:val="24"/>
      <w:lang w:val="en-US" w:eastAsia="zh-CN" w:bidi="ar-SA"/>
    </w:rPr>
  </w:style>
  <w:style w:type="paragraph" w:customStyle="1" w:styleId="129">
    <w:name w:val="样式"/>
    <w:link w:val="128"/>
    <w:autoRedefine/>
    <w:qFormat/>
    <w:uiPriority w:val="99"/>
    <w:pPr>
      <w:widowControl w:val="0"/>
      <w:autoSpaceDE w:val="0"/>
      <w:autoSpaceDN w:val="0"/>
      <w:adjustRightInd w:val="0"/>
    </w:pPr>
    <w:rPr>
      <w:rFonts w:ascii="宋体" w:hAnsi="Times New Roman" w:eastAsia="宋体" w:cs="Times New Roman"/>
      <w:sz w:val="24"/>
      <w:lang w:val="en-US" w:eastAsia="zh-CN" w:bidi="ar-SA"/>
    </w:rPr>
  </w:style>
  <w:style w:type="character" w:customStyle="1" w:styleId="130">
    <w:name w:val="标题 3 Char"/>
    <w:autoRedefine/>
    <w:qFormat/>
    <w:uiPriority w:val="99"/>
    <w:rPr>
      <w:rFonts w:ascii="黑体" w:hAnsi="宋体" w:eastAsia="黑体"/>
      <w:kern w:val="2"/>
      <w:sz w:val="28"/>
    </w:rPr>
  </w:style>
  <w:style w:type="character" w:customStyle="1" w:styleId="131">
    <w:name w:val="明显参考1"/>
    <w:autoRedefine/>
    <w:qFormat/>
    <w:uiPriority w:val="99"/>
    <w:rPr>
      <w:b/>
      <w:smallCaps/>
      <w:color w:val="C0504D"/>
      <w:spacing w:val="5"/>
      <w:u w:val="single"/>
    </w:rPr>
  </w:style>
  <w:style w:type="character" w:customStyle="1" w:styleId="132">
    <w:name w:val="Quote Char"/>
    <w:autoRedefine/>
    <w:qFormat/>
    <w:locked/>
    <w:uiPriority w:val="99"/>
    <w:rPr>
      <w:i/>
      <w:color w:val="000000"/>
      <w:kern w:val="2"/>
      <w:sz w:val="24"/>
    </w:rPr>
  </w:style>
  <w:style w:type="character" w:customStyle="1" w:styleId="133">
    <w:name w:val="页脚 Char"/>
    <w:autoRedefine/>
    <w:qFormat/>
    <w:uiPriority w:val="99"/>
    <w:rPr>
      <w:kern w:val="2"/>
      <w:sz w:val="18"/>
    </w:rPr>
  </w:style>
  <w:style w:type="paragraph" w:customStyle="1" w:styleId="134">
    <w:name w:val="6'"/>
    <w:basedOn w:val="1"/>
    <w:autoRedefine/>
    <w:qFormat/>
    <w:uiPriority w:val="99"/>
    <w:pPr>
      <w:autoSpaceDE w:val="0"/>
      <w:autoSpaceDN w:val="0"/>
      <w:adjustRightInd w:val="0"/>
      <w:snapToGrid w:val="0"/>
      <w:spacing w:line="320" w:lineRule="exact"/>
      <w:jc w:val="center"/>
      <w:textAlignment w:val="baseline"/>
    </w:pPr>
    <w:rPr>
      <w:spacing w:val="20"/>
      <w:kern w:val="28"/>
    </w:rPr>
  </w:style>
  <w:style w:type="paragraph" w:customStyle="1" w:styleId="135">
    <w:name w:val="普通(网站)1"/>
    <w:basedOn w:val="1"/>
    <w:autoRedefine/>
    <w:qFormat/>
    <w:uiPriority w:val="99"/>
    <w:pPr>
      <w:widowControl/>
      <w:spacing w:before="100" w:beforeAutospacing="1" w:after="100" w:afterAutospacing="1"/>
      <w:jc w:val="left"/>
    </w:pPr>
    <w:rPr>
      <w:rFonts w:ascii="??" w:hAnsi="??" w:cs="宋体"/>
      <w:kern w:val="0"/>
      <w:sz w:val="24"/>
    </w:rPr>
  </w:style>
  <w:style w:type="paragraph" w:customStyle="1" w:styleId="136">
    <w:name w:val="Body Text Indent1"/>
    <w:basedOn w:val="1"/>
    <w:autoRedefine/>
    <w:qFormat/>
    <w:uiPriority w:val="99"/>
    <w:pPr>
      <w:spacing w:line="360" w:lineRule="auto"/>
      <w:ind w:firstLine="420"/>
    </w:pPr>
    <w:rPr>
      <w:rFonts w:ascii="宋体"/>
      <w:sz w:val="24"/>
    </w:rPr>
  </w:style>
  <w:style w:type="paragraph" w:customStyle="1" w:styleId="137">
    <w:name w:val="样式 标题 1 + 黑体 三号 非加粗 居中 段前: 6 磅 段后: 6 磅 行距: 固定值 20 磅"/>
    <w:basedOn w:val="4"/>
    <w:autoRedefine/>
    <w:qFormat/>
    <w:uiPriority w:val="99"/>
    <w:pPr>
      <w:spacing w:before="120" w:after="120" w:line="400" w:lineRule="exact"/>
    </w:pPr>
    <w:rPr>
      <w:rFonts w:ascii="黑体" w:hAnsi="黑体" w:eastAsia="黑体" w:cs="宋体"/>
      <w:b w:val="0"/>
      <w:sz w:val="32"/>
    </w:rPr>
  </w:style>
  <w:style w:type="paragraph" w:customStyle="1" w:styleId="138">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39">
    <w:name w:val="样式1"/>
    <w:basedOn w:val="6"/>
    <w:autoRedefine/>
    <w:qFormat/>
    <w:uiPriority w:val="99"/>
    <w:rPr>
      <w:rFonts w:eastAsia="Times New Roman"/>
    </w:rPr>
  </w:style>
  <w:style w:type="paragraph" w:customStyle="1" w:styleId="140">
    <w:name w:val="表格"/>
    <w:basedOn w:val="1"/>
    <w:autoRedefine/>
    <w:qFormat/>
    <w:uiPriority w:val="99"/>
    <w:pPr>
      <w:jc w:val="center"/>
      <w:textAlignment w:val="center"/>
    </w:pPr>
    <w:rPr>
      <w:rFonts w:ascii="华文细黑" w:hAnsi="华文细黑"/>
      <w:kern w:val="0"/>
    </w:rPr>
  </w:style>
  <w:style w:type="paragraph" w:customStyle="1" w:styleId="141">
    <w:name w:val="_Style 38"/>
    <w:basedOn w:val="1"/>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142">
    <w:name w:val="xl38"/>
    <w:basedOn w:val="1"/>
    <w:autoRedefine/>
    <w:qFormat/>
    <w:uiPriority w:val="99"/>
    <w:pPr>
      <w:widowControl/>
      <w:pBdr>
        <w:left w:val="single" w:color="auto" w:sz="4" w:space="0"/>
        <w:right w:val="single" w:color="auto" w:sz="4" w:space="0"/>
      </w:pBdr>
      <w:spacing w:before="100" w:beforeAutospacing="1" w:after="100" w:afterAutospacing="1"/>
      <w:jc w:val="center"/>
      <w:textAlignment w:val="center"/>
    </w:pPr>
    <w:rPr>
      <w:rFonts w:ascii="楷体_GB2312" w:hAnsi="宋体" w:eastAsia="楷体_GB2312"/>
      <w:kern w:val="0"/>
      <w:sz w:val="24"/>
    </w:rPr>
  </w:style>
  <w:style w:type="paragraph" w:customStyle="1" w:styleId="143">
    <w:name w:val="样式 标题 3 + (中文) 黑体 小四 非加粗 段前: 7.8 磅 段后: 0 磅 行距: 固定值 20 磅"/>
    <w:basedOn w:val="6"/>
    <w:autoRedefine/>
    <w:qFormat/>
    <w:uiPriority w:val="99"/>
    <w:pPr>
      <w:spacing w:before="0" w:after="0" w:line="400" w:lineRule="exact"/>
    </w:pPr>
    <w:rPr>
      <w:rFonts w:cs="宋体"/>
      <w:b/>
      <w:bCs/>
    </w:rPr>
  </w:style>
  <w:style w:type="paragraph" w:customStyle="1" w:styleId="144">
    <w:name w:val="xl75"/>
    <w:basedOn w:val="1"/>
    <w:autoRedefine/>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45">
    <w:name w:val="Char Char2 Char Char"/>
    <w:basedOn w:val="16"/>
    <w:autoRedefine/>
    <w:qFormat/>
    <w:uiPriority w:val="99"/>
    <w:rPr>
      <w:rFonts w:ascii="Tahoma" w:hAnsi="Tahoma"/>
    </w:rPr>
  </w:style>
  <w:style w:type="paragraph" w:customStyle="1" w:styleId="146">
    <w:name w:val="xl71"/>
    <w:basedOn w:val="1"/>
    <w:autoRedefine/>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47">
    <w:name w:val="样式 标题 2 + Times New Roman 四号 非加粗 段前: 5 磅 段后: 0 磅 行距: 固定值 20..."/>
    <w:basedOn w:val="5"/>
    <w:autoRedefine/>
    <w:qFormat/>
    <w:uiPriority w:val="99"/>
    <w:pPr>
      <w:spacing w:before="100" w:after="0" w:line="400" w:lineRule="exact"/>
    </w:pPr>
    <w:rPr>
      <w:rFonts w:ascii="Times New Roman" w:hAnsi="Times New Roman" w:cs="宋体"/>
      <w:b w:val="0"/>
      <w:sz w:val="28"/>
    </w:rPr>
  </w:style>
  <w:style w:type="paragraph" w:customStyle="1" w:styleId="148">
    <w:name w:val="xl65"/>
    <w:basedOn w:val="1"/>
    <w:autoRedefine/>
    <w:qFormat/>
    <w:uiPriority w:val="0"/>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149">
    <w:name w:val="xl7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50">
    <w:name w:val="xl7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9900"/>
      <w:kern w:val="0"/>
      <w:sz w:val="20"/>
      <w:szCs w:val="20"/>
    </w:rPr>
  </w:style>
  <w:style w:type="paragraph" w:customStyle="1" w:styleId="151">
    <w:name w:val="xl63"/>
    <w:basedOn w:val="1"/>
    <w:autoRedefine/>
    <w:qFormat/>
    <w:uiPriority w:val="0"/>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152">
    <w:name w:val="xl8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153">
    <w:name w:val="标题 2 + 黑色 行距: 1.5 倍行距"/>
    <w:basedOn w:val="5"/>
    <w:autoRedefine/>
    <w:qFormat/>
    <w:uiPriority w:val="99"/>
    <w:pPr>
      <w:spacing w:line="360" w:lineRule="auto"/>
    </w:pPr>
    <w:rPr>
      <w:rFonts w:eastAsia="宋体" w:cs="宋体"/>
      <w:color w:val="000000"/>
    </w:rPr>
  </w:style>
  <w:style w:type="paragraph" w:customStyle="1" w:styleId="154">
    <w:name w:val="xl66"/>
    <w:basedOn w:val="1"/>
    <w:autoRedefine/>
    <w:qFormat/>
    <w:uiPriority w:val="0"/>
    <w:pPr>
      <w:widowControl/>
      <w:shd w:val="clear" w:color="000000" w:fill="FFFFFF"/>
      <w:spacing w:before="100" w:beforeAutospacing="1" w:after="100" w:afterAutospacing="1"/>
      <w:jc w:val="center"/>
    </w:pPr>
    <w:rPr>
      <w:rFonts w:ascii="宋体" w:hAnsi="宋体" w:cs="宋体"/>
      <w:kern w:val="0"/>
      <w:sz w:val="24"/>
    </w:rPr>
  </w:style>
  <w:style w:type="paragraph" w:customStyle="1" w:styleId="155">
    <w:name w:val="2"/>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56">
    <w:name w:val="xl80"/>
    <w:basedOn w:val="1"/>
    <w:autoRedefine/>
    <w:qFormat/>
    <w:uiPriority w:val="0"/>
    <w:pPr>
      <w:widowControl/>
      <w:pBdr>
        <w:top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57">
    <w:name w:val="Plain Text1"/>
    <w:basedOn w:val="1"/>
    <w:autoRedefine/>
    <w:qFormat/>
    <w:uiPriority w:val="99"/>
    <w:rPr>
      <w:rFonts w:ascii="宋体" w:hAnsi="Courier New"/>
      <w:sz w:val="28"/>
    </w:rPr>
  </w:style>
  <w:style w:type="paragraph" w:customStyle="1" w:styleId="158">
    <w:name w:val="列出段落1"/>
    <w:basedOn w:val="1"/>
    <w:autoRedefine/>
    <w:qFormat/>
    <w:uiPriority w:val="99"/>
    <w:pPr>
      <w:ind w:firstLine="420" w:firstLineChars="200"/>
    </w:pPr>
  </w:style>
  <w:style w:type="paragraph" w:customStyle="1" w:styleId="159">
    <w:name w:val="1"/>
    <w:basedOn w:val="1"/>
    <w:next w:val="1"/>
    <w:autoRedefine/>
    <w:qFormat/>
    <w:uiPriority w:val="99"/>
  </w:style>
  <w:style w:type="paragraph" w:customStyle="1" w:styleId="160">
    <w:name w:val="注"/>
    <w:basedOn w:val="1"/>
    <w:autoRedefine/>
    <w:qFormat/>
    <w:uiPriority w:val="99"/>
    <w:pPr>
      <w:adjustRightInd w:val="0"/>
      <w:spacing w:line="360" w:lineRule="atLeast"/>
      <w:ind w:left="840" w:hanging="420"/>
      <w:textAlignment w:val="baseline"/>
    </w:pPr>
    <w:rPr>
      <w:kern w:val="0"/>
    </w:rPr>
  </w:style>
  <w:style w:type="paragraph" w:customStyle="1" w:styleId="161">
    <w:name w:val="xl78"/>
    <w:basedOn w:val="1"/>
    <w:autoRedefine/>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9900"/>
      <w:kern w:val="0"/>
      <w:sz w:val="24"/>
    </w:rPr>
  </w:style>
  <w:style w:type="paragraph" w:customStyle="1" w:styleId="162">
    <w:name w:val="样式 标题 2 + 黑色 行距: 1.5 倍行距"/>
    <w:basedOn w:val="5"/>
    <w:autoRedefine/>
    <w:qFormat/>
    <w:uiPriority w:val="99"/>
    <w:pPr>
      <w:spacing w:line="360" w:lineRule="auto"/>
    </w:pPr>
    <w:rPr>
      <w:rFonts w:eastAsia="宋体" w:cs="宋体"/>
      <w:color w:val="000000"/>
    </w:rPr>
  </w:style>
  <w:style w:type="paragraph" w:customStyle="1" w:styleId="163">
    <w:name w:val="xl7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9900"/>
      <w:kern w:val="0"/>
      <w:sz w:val="24"/>
    </w:rPr>
  </w:style>
  <w:style w:type="paragraph" w:customStyle="1" w:styleId="164">
    <w:name w:val="xl69"/>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65">
    <w:name w:val="Char Char1"/>
    <w:basedOn w:val="1"/>
    <w:autoRedefine/>
    <w:qFormat/>
    <w:uiPriority w:val="99"/>
  </w:style>
  <w:style w:type="paragraph" w:customStyle="1" w:styleId="166">
    <w:name w:val="样式2"/>
    <w:basedOn w:val="6"/>
    <w:autoRedefine/>
    <w:qFormat/>
    <w:uiPriority w:val="99"/>
  </w:style>
  <w:style w:type="paragraph" w:customStyle="1" w:styleId="167">
    <w:name w:val="È¡ÀÊ¡ÎÄ¡À¾"/>
    <w:basedOn w:val="1"/>
    <w:autoRedefine/>
    <w:qFormat/>
    <w:uiPriority w:val="99"/>
    <w:pPr>
      <w:widowControl/>
      <w:overflowPunct w:val="0"/>
      <w:autoSpaceDE w:val="0"/>
      <w:autoSpaceDN w:val="0"/>
      <w:adjustRightInd w:val="0"/>
      <w:jc w:val="left"/>
      <w:textAlignment w:val="baseline"/>
    </w:pPr>
    <w:rPr>
      <w:kern w:val="0"/>
      <w:sz w:val="24"/>
      <w:lang w:val="zh-CN"/>
    </w:rPr>
  </w:style>
  <w:style w:type="paragraph" w:customStyle="1" w:styleId="168">
    <w:name w:val="xl76"/>
    <w:basedOn w:val="1"/>
    <w:autoRedefine/>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69">
    <w:name w:val="默认"/>
    <w:autoRedefine/>
    <w:qFormat/>
    <w:uiPriority w:val="99"/>
    <w:pPr>
      <w:widowControl w:val="0"/>
      <w:tabs>
        <w:tab w:val="left" w:pos="1654"/>
      </w:tabs>
      <w:suppressAutoHyphens/>
      <w:spacing w:line="360" w:lineRule="atLeast"/>
      <w:ind w:firstLine="420"/>
    </w:pPr>
    <w:rPr>
      <w:rFonts w:ascii="Times New Roman" w:hAnsi="Times New Roman" w:eastAsia="宋体" w:cs="Times New Roman"/>
      <w:color w:val="000000"/>
      <w:sz w:val="21"/>
      <w:szCs w:val="22"/>
      <w:lang w:val="en-US" w:eastAsia="zh-CN" w:bidi="ar-SA"/>
    </w:rPr>
  </w:style>
  <w:style w:type="paragraph" w:customStyle="1" w:styleId="170">
    <w:name w:val="xl79"/>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9900"/>
      <w:kern w:val="0"/>
      <w:sz w:val="20"/>
      <w:szCs w:val="20"/>
    </w:rPr>
  </w:style>
  <w:style w:type="paragraph" w:customStyle="1" w:styleId="171">
    <w:name w:val="xl64"/>
    <w:basedOn w:val="1"/>
    <w:autoRedefine/>
    <w:qFormat/>
    <w:uiPriority w:val="0"/>
    <w:pPr>
      <w:widowControl/>
      <w:shd w:val="clear" w:color="000000" w:fill="FFFFFF"/>
      <w:spacing w:before="100" w:beforeAutospacing="1" w:after="100" w:afterAutospacing="1"/>
      <w:jc w:val="center"/>
    </w:pPr>
    <w:rPr>
      <w:rFonts w:ascii="宋体" w:hAnsi="宋体" w:cs="宋体"/>
      <w:kern w:val="0"/>
      <w:sz w:val="24"/>
    </w:rPr>
  </w:style>
  <w:style w:type="paragraph" w:customStyle="1" w:styleId="172">
    <w:name w:val="Char"/>
    <w:basedOn w:val="1"/>
    <w:autoRedefine/>
    <w:qFormat/>
    <w:uiPriority w:val="0"/>
    <w:pPr>
      <w:tabs>
        <w:tab w:val="left" w:pos="360"/>
      </w:tabs>
    </w:pPr>
    <w:rPr>
      <w:sz w:val="24"/>
    </w:rPr>
  </w:style>
  <w:style w:type="paragraph" w:customStyle="1" w:styleId="173">
    <w:name w:val="表格文字"/>
    <w:basedOn w:val="1"/>
    <w:autoRedefine/>
    <w:qFormat/>
    <w:uiPriority w:val="99"/>
    <w:pPr>
      <w:adjustRightInd w:val="0"/>
      <w:spacing w:line="420" w:lineRule="atLeast"/>
      <w:jc w:val="left"/>
      <w:textAlignment w:val="baseline"/>
    </w:pPr>
    <w:rPr>
      <w:kern w:val="0"/>
    </w:rPr>
  </w:style>
  <w:style w:type="paragraph" w:customStyle="1" w:styleId="174">
    <w:name w:val="样式4"/>
    <w:basedOn w:val="6"/>
    <w:autoRedefine/>
    <w:qFormat/>
    <w:uiPriority w:val="99"/>
    <w:rPr>
      <w:rFonts w:eastAsia="Times New Roman"/>
    </w:rPr>
  </w:style>
  <w:style w:type="paragraph" w:customStyle="1" w:styleId="175">
    <w:name w:val="WW-正文缩进"/>
    <w:basedOn w:val="169"/>
    <w:autoRedefine/>
    <w:qFormat/>
    <w:uiPriority w:val="99"/>
  </w:style>
  <w:style w:type="paragraph" w:customStyle="1" w:styleId="176">
    <w:name w:val="xl6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77">
    <w:name w:val="TOC 标题1"/>
    <w:basedOn w:val="4"/>
    <w:next w:val="1"/>
    <w:autoRedefine/>
    <w:qFormat/>
    <w:uiPriority w:val="99"/>
    <w:pPr>
      <w:spacing w:line="578" w:lineRule="auto"/>
      <w:outlineLvl w:val="9"/>
    </w:pPr>
  </w:style>
  <w:style w:type="paragraph" w:customStyle="1" w:styleId="178">
    <w:name w:val="纯文本1"/>
    <w:basedOn w:val="1"/>
    <w:autoRedefine/>
    <w:qFormat/>
    <w:uiPriority w:val="99"/>
    <w:pPr>
      <w:adjustRightInd w:val="0"/>
      <w:textAlignment w:val="baseline"/>
    </w:pPr>
    <w:rPr>
      <w:rFonts w:ascii="宋体" w:hAnsi="Courier New" w:eastAsia="楷体_GB2312"/>
      <w:sz w:val="26"/>
    </w:rPr>
  </w:style>
  <w:style w:type="paragraph" w:customStyle="1" w:styleId="179">
    <w:name w:val="xl67"/>
    <w:basedOn w:val="1"/>
    <w:autoRedefine/>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80">
    <w:name w:val="xl7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81">
    <w:name w:val="Personal Name"/>
    <w:basedOn w:val="47"/>
    <w:autoRedefine/>
    <w:qFormat/>
    <w:uiPriority w:val="99"/>
    <w:rPr>
      <w:rFonts w:ascii="Impact" w:hAnsi="Impact"/>
      <w:b w:val="0"/>
      <w:caps/>
      <w:color w:val="000000"/>
      <w:sz w:val="28"/>
      <w:szCs w:val="28"/>
    </w:rPr>
  </w:style>
  <w:style w:type="paragraph" w:customStyle="1" w:styleId="182">
    <w:name w:val="纯文本2"/>
    <w:basedOn w:val="1"/>
    <w:autoRedefine/>
    <w:qFormat/>
    <w:uiPriority w:val="99"/>
    <w:rPr>
      <w:rFonts w:ascii="宋体" w:hAnsi="Courier New"/>
      <w:sz w:val="28"/>
    </w:rPr>
  </w:style>
  <w:style w:type="paragraph" w:customStyle="1" w:styleId="183">
    <w:name w:val="样式3"/>
    <w:basedOn w:val="6"/>
    <w:autoRedefine/>
    <w:qFormat/>
    <w:uiPriority w:val="99"/>
    <w:rPr>
      <w:rFonts w:eastAsia="Times New Roman"/>
    </w:rPr>
  </w:style>
  <w:style w:type="paragraph" w:customStyle="1" w:styleId="184">
    <w:name w:val="正文文本缩进1"/>
    <w:basedOn w:val="1"/>
    <w:autoRedefine/>
    <w:qFormat/>
    <w:uiPriority w:val="99"/>
    <w:pPr>
      <w:spacing w:line="360" w:lineRule="auto"/>
      <w:ind w:firstLine="420"/>
    </w:pPr>
    <w:rPr>
      <w:rFonts w:ascii="宋体"/>
      <w:sz w:val="24"/>
    </w:rPr>
  </w:style>
  <w:style w:type="paragraph" w:customStyle="1" w:styleId="185">
    <w:name w:val="xl77"/>
    <w:basedOn w:val="1"/>
    <w:autoRedefine/>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9900"/>
      <w:kern w:val="0"/>
      <w:sz w:val="20"/>
      <w:szCs w:val="20"/>
    </w:rPr>
  </w:style>
  <w:style w:type="paragraph" w:customStyle="1" w:styleId="186">
    <w:name w:val="xl81"/>
    <w:basedOn w:val="1"/>
    <w:autoRedefine/>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styleId="187">
    <w:name w:val="List Paragraph"/>
    <w:basedOn w:val="1"/>
    <w:autoRedefine/>
    <w:qFormat/>
    <w:uiPriority w:val="99"/>
    <w:pPr>
      <w:ind w:firstLine="420" w:firstLineChars="200"/>
    </w:pPr>
    <w:rPr>
      <w:rFonts w:ascii="Calibri" w:hAnsi="Calibri"/>
      <w:szCs w:val="22"/>
    </w:rPr>
  </w:style>
  <w:style w:type="paragraph" w:customStyle="1" w:styleId="188">
    <w:name w:val="正文1"/>
    <w:autoRedefine/>
    <w:qFormat/>
    <w:uiPriority w:val="99"/>
    <w:pPr>
      <w:jc w:val="both"/>
    </w:pPr>
    <w:rPr>
      <w:rFonts w:ascii="Calibri" w:hAnsi="Calibri" w:eastAsia="宋体" w:cs="宋体"/>
      <w:kern w:val="2"/>
      <w:sz w:val="21"/>
      <w:szCs w:val="21"/>
      <w:lang w:val="en-US" w:eastAsia="zh-CN" w:bidi="ar-SA"/>
    </w:rPr>
  </w:style>
  <w:style w:type="paragraph" w:customStyle="1" w:styleId="189">
    <w:name w:val="_Style 232"/>
    <w:basedOn w:val="1"/>
    <w:next w:val="1"/>
    <w:autoRedefine/>
    <w:qFormat/>
    <w:uiPriority w:val="39"/>
    <w:pPr>
      <w:ind w:left="840" w:leftChars="400"/>
    </w:pPr>
    <w:rPr>
      <w:rFonts w:ascii="Calibri" w:hAnsi="Calibri"/>
      <w:szCs w:val="22"/>
    </w:rPr>
  </w:style>
  <w:style w:type="paragraph" w:customStyle="1" w:styleId="190">
    <w:name w:val="Table Paragraph"/>
    <w:basedOn w:val="1"/>
    <w:autoRedefine/>
    <w:qFormat/>
    <w:uiPriority w:val="0"/>
    <w:pPr>
      <w:jc w:val="left"/>
    </w:pPr>
    <w:rPr>
      <w:rFonts w:ascii="Calibri" w:hAnsi="Calibri" w:cs="Calibri"/>
      <w:kern w:val="0"/>
      <w:sz w:val="22"/>
      <w:szCs w:val="22"/>
      <w:lang w:eastAsia="en-US"/>
    </w:rPr>
  </w:style>
  <w:style w:type="character" w:customStyle="1" w:styleId="191">
    <w:name w:val="Char Char31"/>
    <w:autoRedefine/>
    <w:qFormat/>
    <w:uiPriority w:val="0"/>
    <w:rPr>
      <w:rFonts w:eastAsia="宋体"/>
      <w:b/>
      <w:bCs/>
      <w:kern w:val="2"/>
      <w:sz w:val="32"/>
      <w:szCs w:val="32"/>
      <w:lang w:val="en-US" w:eastAsia="zh-CN" w:bidi="ar-SA"/>
    </w:rPr>
  </w:style>
  <w:style w:type="character" w:customStyle="1" w:styleId="192">
    <w:name w:val="标题 3 字符"/>
    <w:autoRedefine/>
    <w:qFormat/>
    <w:uiPriority w:val="99"/>
    <w:rPr>
      <w:rFonts w:hAnsi="黑体" w:eastAsia="黑体"/>
      <w:kern w:val="2"/>
      <w:sz w:val="24"/>
    </w:rPr>
  </w:style>
  <w:style w:type="character" w:customStyle="1" w:styleId="193">
    <w:name w:val="Heading 6 Char"/>
    <w:autoRedefine/>
    <w:qFormat/>
    <w:locked/>
    <w:uiPriority w:val="0"/>
    <w:rPr>
      <w:rFonts w:ascii="Arial" w:hAnsi="Arial" w:eastAsia="黑体"/>
      <w:b/>
      <w:kern w:val="2"/>
      <w:sz w:val="24"/>
      <w:lang w:val="en-US" w:eastAsia="zh-CN"/>
    </w:rPr>
  </w:style>
  <w:style w:type="character" w:customStyle="1" w:styleId="194">
    <w:name w:val="Char Char10"/>
    <w:autoRedefine/>
    <w:qFormat/>
    <w:locked/>
    <w:uiPriority w:val="0"/>
    <w:rPr>
      <w:rFonts w:eastAsia="宋体"/>
      <w:sz w:val="24"/>
      <w:lang w:val="en-US" w:eastAsia="zh-CN" w:bidi="ar-SA"/>
    </w:rPr>
  </w:style>
  <w:style w:type="character" w:customStyle="1" w:styleId="195">
    <w:name w:val="Body Text 3 Char"/>
    <w:autoRedefine/>
    <w:qFormat/>
    <w:locked/>
    <w:uiPriority w:val="0"/>
    <w:rPr>
      <w:rFonts w:cs="Times New Roman"/>
      <w:color w:val="000000"/>
      <w:kern w:val="2"/>
      <w:sz w:val="24"/>
    </w:rPr>
  </w:style>
  <w:style w:type="character" w:customStyle="1" w:styleId="196">
    <w:name w:val="Char Char23"/>
    <w:autoRedefine/>
    <w:qFormat/>
    <w:locked/>
    <w:uiPriority w:val="0"/>
    <w:rPr>
      <w:rFonts w:eastAsia="仿宋_GB2312"/>
      <w:kern w:val="2"/>
      <w:sz w:val="25"/>
      <w:szCs w:val="24"/>
      <w:lang w:val="en-US" w:eastAsia="zh-CN" w:bidi="ar-SA"/>
    </w:rPr>
  </w:style>
  <w:style w:type="character" w:customStyle="1" w:styleId="197">
    <w:name w:val="Variable"/>
    <w:autoRedefine/>
    <w:qFormat/>
    <w:uiPriority w:val="0"/>
    <w:rPr>
      <w:i/>
    </w:rPr>
  </w:style>
  <w:style w:type="character" w:customStyle="1" w:styleId="198">
    <w:name w:val="正文（首行缩进两字） Char Char Char Char Char Char Char Char Char Char Char Char Char Char Char Char Char Char Char Char Char Char Char Char Char Char Char Char Char Char Char Char Char Char Char Char Char Char Char Char Char Char Char Char Char Char"/>
    <w:autoRedefine/>
    <w:qFormat/>
    <w:uiPriority w:val="0"/>
    <w:rPr>
      <w:rFonts w:eastAsia="宋体"/>
      <w:sz w:val="24"/>
      <w:szCs w:val="24"/>
      <w:lang w:val="en-US" w:eastAsia="zh-CN" w:bidi="ar-SA"/>
    </w:rPr>
  </w:style>
  <w:style w:type="character" w:customStyle="1" w:styleId="199">
    <w:name w:val="Char Char18"/>
    <w:autoRedefine/>
    <w:qFormat/>
    <w:uiPriority w:val="0"/>
    <w:rPr>
      <w:rFonts w:ascii="Times New Roman" w:hAnsi="Times New Roman" w:eastAsia="宋体" w:cs="Times New Roman"/>
      <w:b/>
      <w:bCs/>
      <w:sz w:val="28"/>
      <w:szCs w:val="28"/>
    </w:rPr>
  </w:style>
  <w:style w:type="character" w:customStyle="1" w:styleId="200">
    <w:name w:val="Char Char40"/>
    <w:autoRedefine/>
    <w:qFormat/>
    <w:uiPriority w:val="0"/>
    <w:rPr>
      <w:rFonts w:eastAsia="宋体"/>
      <w:kern w:val="2"/>
      <w:sz w:val="21"/>
      <w:szCs w:val="24"/>
      <w:lang w:val="en-US" w:eastAsia="zh-CN" w:bidi="ar-SA"/>
    </w:rPr>
  </w:style>
  <w:style w:type="character" w:customStyle="1" w:styleId="201">
    <w:name w:val="不明显参考2"/>
    <w:autoRedefine/>
    <w:qFormat/>
    <w:uiPriority w:val="0"/>
    <w:rPr>
      <w:smallCaps/>
      <w:color w:val="C0504D"/>
      <w:u w:val="single"/>
    </w:rPr>
  </w:style>
  <w:style w:type="character" w:customStyle="1" w:styleId="202">
    <w:name w:val="Heading 3 Char1"/>
    <w:autoRedefine/>
    <w:qFormat/>
    <w:uiPriority w:val="0"/>
    <w:rPr>
      <w:rFonts w:eastAsia="宋体"/>
      <w:b/>
      <w:bCs/>
      <w:kern w:val="2"/>
      <w:sz w:val="24"/>
      <w:szCs w:val="32"/>
      <w:lang w:val="en-US" w:eastAsia="zh-CN" w:bidi="ar-SA"/>
    </w:rPr>
  </w:style>
  <w:style w:type="character" w:customStyle="1" w:styleId="203">
    <w:name w:val="Char Char11"/>
    <w:autoRedefine/>
    <w:qFormat/>
    <w:uiPriority w:val="0"/>
    <w:rPr>
      <w:rFonts w:eastAsia="宋体" w:cs="Times New Roman"/>
      <w:b/>
      <w:bCs/>
      <w:kern w:val="2"/>
      <w:sz w:val="32"/>
      <w:szCs w:val="32"/>
      <w:lang w:val="en-US" w:eastAsia="zh-CN" w:bidi="ar-SA"/>
    </w:rPr>
  </w:style>
  <w:style w:type="character" w:customStyle="1" w:styleId="204">
    <w:name w:val="正文文本 3 Char3"/>
    <w:autoRedefine/>
    <w:semiHidden/>
    <w:qFormat/>
    <w:uiPriority w:val="99"/>
    <w:rPr>
      <w:sz w:val="16"/>
      <w:szCs w:val="16"/>
    </w:rPr>
  </w:style>
  <w:style w:type="character" w:customStyle="1" w:styleId="205">
    <w:name w:val="批注框文本 Char3"/>
    <w:autoRedefine/>
    <w:semiHidden/>
    <w:qFormat/>
    <w:uiPriority w:val="99"/>
    <w:rPr>
      <w:sz w:val="18"/>
      <w:szCs w:val="18"/>
    </w:rPr>
  </w:style>
  <w:style w:type="character" w:customStyle="1" w:styleId="206">
    <w:name w:val="文档结构图 字符"/>
    <w:autoRedefine/>
    <w:qFormat/>
    <w:uiPriority w:val="99"/>
    <w:rPr>
      <w:kern w:val="2"/>
      <w:sz w:val="24"/>
      <w:shd w:val="clear" w:color="auto" w:fill="000080"/>
    </w:rPr>
  </w:style>
  <w:style w:type="character" w:customStyle="1" w:styleId="207">
    <w:name w:val="日期 字符"/>
    <w:autoRedefine/>
    <w:qFormat/>
    <w:uiPriority w:val="99"/>
    <w:rPr>
      <w:sz w:val="24"/>
    </w:rPr>
  </w:style>
  <w:style w:type="character" w:customStyle="1" w:styleId="208">
    <w:name w:val="Heading 4 Char"/>
    <w:autoRedefine/>
    <w:qFormat/>
    <w:uiPriority w:val="0"/>
    <w:rPr>
      <w:rFonts w:ascii="Arial" w:hAnsi="Arial" w:eastAsia="宋体"/>
      <w:b/>
      <w:bCs/>
      <w:kern w:val="2"/>
      <w:sz w:val="21"/>
      <w:szCs w:val="28"/>
      <w:lang w:val="en-US" w:eastAsia="zh-CN" w:bidi="ar-SA"/>
    </w:rPr>
  </w:style>
  <w:style w:type="character" w:customStyle="1" w:styleId="209">
    <w:name w:val="副标题 Char2"/>
    <w:autoRedefine/>
    <w:qFormat/>
    <w:uiPriority w:val="11"/>
    <w:rPr>
      <w:rFonts w:ascii="Cambria" w:hAnsi="Cambria" w:eastAsia="宋体" w:cs="Times New Roman"/>
      <w:b/>
      <w:bCs/>
      <w:kern w:val="28"/>
      <w:sz w:val="32"/>
      <w:szCs w:val="32"/>
    </w:rPr>
  </w:style>
  <w:style w:type="character" w:customStyle="1" w:styleId="210">
    <w:name w:val="正文缩进 字符"/>
    <w:autoRedefine/>
    <w:qFormat/>
    <w:locked/>
    <w:uiPriority w:val="99"/>
    <w:rPr>
      <w:b/>
      <w:kern w:val="2"/>
      <w:sz w:val="24"/>
    </w:rPr>
  </w:style>
  <w:style w:type="character" w:customStyle="1" w:styleId="211">
    <w:name w:val="标题 8 字符"/>
    <w:autoRedefine/>
    <w:qFormat/>
    <w:uiPriority w:val="99"/>
    <w:rPr>
      <w:rFonts w:ascii="Arial" w:hAnsi="Arial" w:eastAsia="黑体"/>
      <w:sz w:val="24"/>
    </w:rPr>
  </w:style>
  <w:style w:type="character" w:customStyle="1" w:styleId="212">
    <w:name w:val="批注主题 字符"/>
    <w:autoRedefine/>
    <w:qFormat/>
    <w:uiPriority w:val="99"/>
    <w:rPr>
      <w:b/>
      <w:kern w:val="2"/>
      <w:sz w:val="21"/>
    </w:rPr>
  </w:style>
  <w:style w:type="character" w:customStyle="1" w:styleId="213">
    <w:name w:val="纯文本 Char3"/>
    <w:autoRedefine/>
    <w:semiHidden/>
    <w:qFormat/>
    <w:uiPriority w:val="99"/>
    <w:rPr>
      <w:rFonts w:ascii="宋体" w:hAnsi="Courier New" w:eastAsia="宋体" w:cs="Courier New"/>
      <w:szCs w:val="21"/>
    </w:rPr>
  </w:style>
  <w:style w:type="character" w:customStyle="1" w:styleId="214">
    <w:name w:val="标题4 Char2"/>
    <w:autoRedefine/>
    <w:qFormat/>
    <w:uiPriority w:val="0"/>
    <w:rPr>
      <w:rFonts w:eastAsia="宋体"/>
      <w:sz w:val="24"/>
      <w:szCs w:val="24"/>
      <w:lang w:val="en-US" w:eastAsia="zh-CN" w:bidi="ar-SA"/>
    </w:rPr>
  </w:style>
  <w:style w:type="character" w:customStyle="1" w:styleId="215">
    <w:name w:val="Char Char4"/>
    <w:autoRedefine/>
    <w:qFormat/>
    <w:locked/>
    <w:uiPriority w:val="0"/>
    <w:rPr>
      <w:rFonts w:ascii="Cambria" w:hAnsi="Cambria" w:eastAsia="宋体"/>
      <w:b/>
      <w:bCs/>
      <w:kern w:val="2"/>
      <w:sz w:val="32"/>
      <w:szCs w:val="32"/>
      <w:lang w:val="en-US" w:eastAsia="zh-CN" w:bidi="ar-SA"/>
    </w:rPr>
  </w:style>
  <w:style w:type="character" w:customStyle="1" w:styleId="216">
    <w:name w:val="Comment Subject Char"/>
    <w:autoRedefine/>
    <w:qFormat/>
    <w:uiPriority w:val="0"/>
    <w:rPr>
      <w:b/>
      <w:sz w:val="24"/>
      <w:lang w:bidi="ar-SA"/>
    </w:rPr>
  </w:style>
  <w:style w:type="character" w:customStyle="1" w:styleId="217">
    <w:name w:val="Body Text 2 Char"/>
    <w:autoRedefine/>
    <w:qFormat/>
    <w:locked/>
    <w:uiPriority w:val="0"/>
    <w:rPr>
      <w:rFonts w:cs="Times New Roman"/>
      <w:kern w:val="2"/>
      <w:sz w:val="24"/>
    </w:rPr>
  </w:style>
  <w:style w:type="character" w:customStyle="1" w:styleId="218">
    <w:name w:val="Char Char28"/>
    <w:autoRedefine/>
    <w:qFormat/>
    <w:uiPriority w:val="0"/>
    <w:rPr>
      <w:rFonts w:ascii="Cambria" w:hAnsi="Cambria" w:eastAsia="宋体"/>
      <w:b/>
      <w:bCs/>
      <w:kern w:val="2"/>
      <w:sz w:val="32"/>
      <w:szCs w:val="32"/>
      <w:lang w:val="en-US" w:eastAsia="zh-CN" w:bidi="ar-SA"/>
    </w:rPr>
  </w:style>
  <w:style w:type="character" w:customStyle="1" w:styleId="219">
    <w:name w:val="批注主题 Char3"/>
    <w:autoRedefine/>
    <w:semiHidden/>
    <w:qFormat/>
    <w:uiPriority w:val="99"/>
    <w:rPr>
      <w:b/>
      <w:bCs/>
    </w:rPr>
  </w:style>
  <w:style w:type="character" w:customStyle="1" w:styleId="220">
    <w:name w:val="Heading 3 Char"/>
    <w:autoRedefine/>
    <w:qFormat/>
    <w:uiPriority w:val="0"/>
    <w:rPr>
      <w:rFonts w:cs="Times New Roman"/>
      <w:b/>
      <w:bCs/>
      <w:kern w:val="2"/>
      <w:sz w:val="32"/>
      <w:szCs w:val="32"/>
    </w:rPr>
  </w:style>
  <w:style w:type="character" w:customStyle="1" w:styleId="221">
    <w:name w:val="Char Char27"/>
    <w:autoRedefine/>
    <w:qFormat/>
    <w:uiPriority w:val="0"/>
    <w:rPr>
      <w:rFonts w:eastAsia="宋体"/>
      <w:b/>
      <w:bCs/>
      <w:kern w:val="2"/>
      <w:sz w:val="32"/>
      <w:szCs w:val="32"/>
      <w:lang w:val="en-US" w:eastAsia="zh-CN" w:bidi="ar-SA"/>
    </w:rPr>
  </w:style>
  <w:style w:type="character" w:customStyle="1" w:styleId="222">
    <w:name w:val="标题 6 字符"/>
    <w:autoRedefine/>
    <w:qFormat/>
    <w:uiPriority w:val="99"/>
    <w:rPr>
      <w:rFonts w:ascii="Arial" w:hAnsi="Arial" w:eastAsia="黑体"/>
      <w:b/>
      <w:sz w:val="24"/>
    </w:rPr>
  </w:style>
  <w:style w:type="character" w:customStyle="1" w:styleId="223">
    <w:name w:val="批注文字 Char Char"/>
    <w:autoRedefine/>
    <w:qFormat/>
    <w:uiPriority w:val="0"/>
    <w:rPr>
      <w:rFonts w:ascii="宋体" w:hAnsi="Times New Roman" w:eastAsia="宋体" w:cs="Times New Roman"/>
      <w:sz w:val="28"/>
      <w:szCs w:val="20"/>
    </w:rPr>
  </w:style>
  <w:style w:type="character" w:customStyle="1" w:styleId="224">
    <w:name w:val="正文文本 字符"/>
    <w:autoRedefine/>
    <w:qFormat/>
    <w:uiPriority w:val="99"/>
    <w:rPr>
      <w:kern w:val="2"/>
      <w:sz w:val="24"/>
    </w:rPr>
  </w:style>
  <w:style w:type="character" w:customStyle="1" w:styleId="225">
    <w:name w:val="Char Char9"/>
    <w:autoRedefine/>
    <w:qFormat/>
    <w:uiPriority w:val="0"/>
    <w:rPr>
      <w:rFonts w:eastAsia="宋体"/>
      <w:b/>
      <w:bCs/>
      <w:kern w:val="44"/>
      <w:sz w:val="32"/>
      <w:szCs w:val="44"/>
      <w:lang w:val="en-US" w:eastAsia="zh-CN" w:bidi="ar-SA"/>
    </w:rPr>
  </w:style>
  <w:style w:type="character" w:customStyle="1" w:styleId="226">
    <w:name w:val="Comment Text Char"/>
    <w:autoRedefine/>
    <w:qFormat/>
    <w:uiPriority w:val="0"/>
    <w:rPr>
      <w:rFonts w:cs="Times New Roman"/>
      <w:sz w:val="24"/>
      <w:szCs w:val="24"/>
    </w:rPr>
  </w:style>
  <w:style w:type="character" w:customStyle="1" w:styleId="227">
    <w:name w:val="Char Char211"/>
    <w:autoRedefine/>
    <w:qFormat/>
    <w:uiPriority w:val="0"/>
    <w:rPr>
      <w:rFonts w:eastAsia="宋体"/>
      <w:b/>
      <w:kern w:val="2"/>
      <w:sz w:val="32"/>
      <w:lang w:val="en-US" w:eastAsia="zh-CN"/>
    </w:rPr>
  </w:style>
  <w:style w:type="character" w:customStyle="1" w:styleId="228">
    <w:name w:val="Normal Indent Char"/>
    <w:autoRedefine/>
    <w:qFormat/>
    <w:locked/>
    <w:uiPriority w:val="0"/>
    <w:rPr>
      <w:rFonts w:eastAsia="宋体" w:cs="Times New Roman"/>
      <w:sz w:val="24"/>
      <w:szCs w:val="24"/>
      <w:lang w:val="en-US" w:eastAsia="zh-CN" w:bidi="ar-SA"/>
    </w:rPr>
  </w:style>
  <w:style w:type="character" w:customStyle="1" w:styleId="229">
    <w:name w:val="未处理的提及1"/>
    <w:autoRedefine/>
    <w:unhideWhenUsed/>
    <w:qFormat/>
    <w:uiPriority w:val="99"/>
    <w:rPr>
      <w:color w:val="605E5C"/>
      <w:shd w:val="clear" w:color="auto" w:fill="E1DFDD"/>
    </w:rPr>
  </w:style>
  <w:style w:type="character" w:customStyle="1" w:styleId="230">
    <w:name w:val="页脚 字符"/>
    <w:autoRedefine/>
    <w:qFormat/>
    <w:uiPriority w:val="99"/>
    <w:rPr>
      <w:kern w:val="2"/>
      <w:sz w:val="18"/>
    </w:rPr>
  </w:style>
  <w:style w:type="character" w:customStyle="1" w:styleId="231">
    <w:name w:val="HTML 预设格式 Char2"/>
    <w:autoRedefine/>
    <w:qFormat/>
    <w:uiPriority w:val="99"/>
    <w:rPr>
      <w:rFonts w:ascii="Courier New" w:hAnsi="Courier New" w:cs="Courier New"/>
      <w:kern w:val="2"/>
    </w:rPr>
  </w:style>
  <w:style w:type="character" w:customStyle="1" w:styleId="232">
    <w:name w:val="Char Char271"/>
    <w:autoRedefine/>
    <w:qFormat/>
    <w:uiPriority w:val="0"/>
    <w:rPr>
      <w:rFonts w:eastAsia="宋体"/>
      <w:b/>
      <w:kern w:val="2"/>
      <w:sz w:val="24"/>
      <w:lang w:val="en-US" w:eastAsia="zh-CN" w:bidi="ar-SA"/>
    </w:rPr>
  </w:style>
  <w:style w:type="character" w:customStyle="1" w:styleId="233">
    <w:name w:val="标题 字符"/>
    <w:autoRedefine/>
    <w:qFormat/>
    <w:uiPriority w:val="99"/>
    <w:rPr>
      <w:rFonts w:ascii="Arial" w:hAnsi="Arial"/>
      <w:b/>
      <w:sz w:val="32"/>
    </w:rPr>
  </w:style>
  <w:style w:type="character" w:customStyle="1" w:styleId="234">
    <w:name w:val="书籍标题2"/>
    <w:autoRedefine/>
    <w:qFormat/>
    <w:uiPriority w:val="0"/>
    <w:rPr>
      <w:b/>
      <w:bCs/>
      <w:smallCaps/>
      <w:spacing w:val="5"/>
    </w:rPr>
  </w:style>
  <w:style w:type="character" w:customStyle="1" w:styleId="235">
    <w:name w:val="引用 Char1"/>
    <w:autoRedefine/>
    <w:qFormat/>
    <w:uiPriority w:val="29"/>
    <w:rPr>
      <w:rFonts w:ascii="Times New Roman" w:hAnsi="Times New Roman" w:eastAsia="宋体" w:cs="Times New Roman"/>
      <w:i/>
      <w:iCs/>
      <w:color w:val="000000"/>
      <w:szCs w:val="24"/>
    </w:rPr>
  </w:style>
  <w:style w:type="character" w:customStyle="1" w:styleId="236">
    <w:name w:val="Char Char24"/>
    <w:autoRedefine/>
    <w:qFormat/>
    <w:uiPriority w:val="0"/>
    <w:rPr>
      <w:rFonts w:eastAsia="宋体"/>
      <w:b/>
      <w:bCs/>
      <w:kern w:val="44"/>
      <w:sz w:val="32"/>
      <w:szCs w:val="44"/>
      <w:lang w:val="en-US" w:eastAsia="zh-CN" w:bidi="ar-SA"/>
    </w:rPr>
  </w:style>
  <w:style w:type="character" w:customStyle="1" w:styleId="237">
    <w:name w:val="Char Char231"/>
    <w:autoRedefine/>
    <w:qFormat/>
    <w:uiPriority w:val="0"/>
    <w:rPr>
      <w:rFonts w:eastAsia="宋体"/>
      <w:b/>
      <w:bCs/>
      <w:kern w:val="44"/>
      <w:sz w:val="32"/>
      <w:szCs w:val="44"/>
      <w:lang w:val="en-US" w:eastAsia="zh-CN" w:bidi="ar-SA"/>
    </w:rPr>
  </w:style>
  <w:style w:type="character" w:customStyle="1" w:styleId="238">
    <w:name w:val="日期 Char3"/>
    <w:autoRedefine/>
    <w:semiHidden/>
    <w:qFormat/>
    <w:uiPriority w:val="99"/>
  </w:style>
  <w:style w:type="character" w:customStyle="1" w:styleId="239">
    <w:name w:val="Date Char"/>
    <w:autoRedefine/>
    <w:qFormat/>
    <w:uiPriority w:val="0"/>
    <w:rPr>
      <w:rFonts w:eastAsia="宋体"/>
      <w:kern w:val="2"/>
      <w:sz w:val="21"/>
      <w:szCs w:val="24"/>
      <w:lang w:val="en-US" w:eastAsia="zh-CN" w:bidi="ar-SA"/>
    </w:rPr>
  </w:style>
  <w:style w:type="character" w:customStyle="1" w:styleId="240">
    <w:name w:val="副标题 Char3"/>
    <w:autoRedefine/>
    <w:qFormat/>
    <w:uiPriority w:val="11"/>
    <w:rPr>
      <w:rFonts w:ascii="Cambria" w:hAnsi="Cambria" w:eastAsia="宋体" w:cs="Times New Roman"/>
      <w:b/>
      <w:bCs/>
      <w:kern w:val="28"/>
      <w:sz w:val="32"/>
      <w:szCs w:val="32"/>
    </w:rPr>
  </w:style>
  <w:style w:type="character" w:customStyle="1" w:styleId="241">
    <w:name w:val="标题 Char4"/>
    <w:autoRedefine/>
    <w:qFormat/>
    <w:uiPriority w:val="10"/>
    <w:rPr>
      <w:rFonts w:ascii="Cambria" w:hAnsi="Cambria" w:eastAsia="宋体" w:cs="Times New Roman"/>
      <w:b/>
      <w:bCs/>
      <w:sz w:val="32"/>
      <w:szCs w:val="32"/>
    </w:rPr>
  </w:style>
  <w:style w:type="character" w:customStyle="1" w:styleId="242">
    <w:name w:val="页眉 Char3"/>
    <w:autoRedefine/>
    <w:semiHidden/>
    <w:qFormat/>
    <w:uiPriority w:val="99"/>
    <w:rPr>
      <w:sz w:val="18"/>
      <w:szCs w:val="18"/>
    </w:rPr>
  </w:style>
  <w:style w:type="character" w:customStyle="1" w:styleId="243">
    <w:name w:val="Char Char25"/>
    <w:autoRedefine/>
    <w:qFormat/>
    <w:locked/>
    <w:uiPriority w:val="0"/>
    <w:rPr>
      <w:rFonts w:ascii="Arial" w:hAnsi="Arial" w:eastAsia="黑体"/>
      <w:kern w:val="2"/>
      <w:sz w:val="21"/>
      <w:lang w:val="en-US" w:eastAsia="zh-CN" w:bidi="ar-SA"/>
    </w:rPr>
  </w:style>
  <w:style w:type="character" w:customStyle="1" w:styleId="244">
    <w:name w:val="标题 2 Char1"/>
    <w:autoRedefine/>
    <w:qFormat/>
    <w:uiPriority w:val="0"/>
    <w:rPr>
      <w:rFonts w:ascii="Arial" w:hAnsi="Arial" w:eastAsia="黑体" w:cs="Calibri"/>
      <w:b/>
      <w:kern w:val="0"/>
      <w:sz w:val="32"/>
      <w:szCs w:val="20"/>
    </w:rPr>
  </w:style>
  <w:style w:type="character" w:customStyle="1" w:styleId="245">
    <w:name w:val="Char Char30"/>
    <w:autoRedefine/>
    <w:qFormat/>
    <w:uiPriority w:val="0"/>
    <w:rPr>
      <w:rFonts w:eastAsia="宋体"/>
      <w:kern w:val="2"/>
      <w:sz w:val="21"/>
      <w:szCs w:val="22"/>
      <w:lang w:val="en-US" w:eastAsia="zh-CN" w:bidi="ar-SA"/>
    </w:rPr>
  </w:style>
  <w:style w:type="character" w:customStyle="1" w:styleId="246">
    <w:name w:val="Title Char"/>
    <w:autoRedefine/>
    <w:qFormat/>
    <w:uiPriority w:val="0"/>
    <w:rPr>
      <w:rFonts w:ascii="Cambria" w:hAnsi="Cambria"/>
      <w:b/>
      <w:sz w:val="32"/>
      <w:lang w:bidi="ar-SA"/>
    </w:rPr>
  </w:style>
  <w:style w:type="character" w:customStyle="1" w:styleId="247">
    <w:name w:val="Footer Char"/>
    <w:autoRedefine/>
    <w:qFormat/>
    <w:uiPriority w:val="0"/>
    <w:rPr>
      <w:rFonts w:eastAsia="宋体"/>
      <w:kern w:val="2"/>
      <w:sz w:val="18"/>
      <w:szCs w:val="18"/>
      <w:lang w:val="en-US" w:eastAsia="zh-CN" w:bidi="ar-SA"/>
    </w:rPr>
  </w:style>
  <w:style w:type="character" w:customStyle="1" w:styleId="248">
    <w:name w:val="引用 Char2"/>
    <w:autoRedefine/>
    <w:qFormat/>
    <w:uiPriority w:val="29"/>
    <w:rPr>
      <w:rFonts w:ascii="Times New Roman" w:hAnsi="Times New Roman" w:eastAsia="宋体" w:cs="Times New Roman"/>
      <w:i/>
      <w:iCs/>
      <w:color w:val="000000"/>
      <w:szCs w:val="24"/>
    </w:rPr>
  </w:style>
  <w:style w:type="character" w:customStyle="1" w:styleId="249">
    <w:name w:val="Heading 1 Char"/>
    <w:autoRedefine/>
    <w:qFormat/>
    <w:uiPriority w:val="0"/>
    <w:rPr>
      <w:rFonts w:eastAsia="宋体"/>
      <w:b/>
      <w:bCs/>
      <w:kern w:val="44"/>
      <w:sz w:val="32"/>
      <w:szCs w:val="44"/>
      <w:lang w:val="en-US" w:eastAsia="zh-CN" w:bidi="ar-SA"/>
    </w:rPr>
  </w:style>
  <w:style w:type="character" w:customStyle="1" w:styleId="250">
    <w:name w:val="引用 字符"/>
    <w:autoRedefine/>
    <w:qFormat/>
    <w:uiPriority w:val="0"/>
    <w:rPr>
      <w:i/>
      <w:iCs/>
      <w:color w:val="000000"/>
      <w:kern w:val="2"/>
      <w:sz w:val="21"/>
      <w:szCs w:val="22"/>
      <w:lang w:bidi="ar-SA"/>
    </w:rPr>
  </w:style>
  <w:style w:type="character" w:customStyle="1" w:styleId="251">
    <w:name w:val="15"/>
    <w:autoRedefine/>
    <w:qFormat/>
    <w:uiPriority w:val="0"/>
    <w:rPr>
      <w:rFonts w:hint="default" w:ascii="Times New Roman" w:hAnsi="Times New Roman" w:cs="Times New Roman"/>
    </w:rPr>
  </w:style>
  <w:style w:type="character" w:customStyle="1" w:styleId="252">
    <w:name w:val="Char Char3"/>
    <w:autoRedefine/>
    <w:qFormat/>
    <w:locked/>
    <w:uiPriority w:val="0"/>
    <w:rPr>
      <w:rFonts w:ascii="宋体" w:hAnsi="宋体" w:eastAsia="宋体"/>
      <w:kern w:val="2"/>
      <w:sz w:val="18"/>
      <w:szCs w:val="18"/>
      <w:lang w:val="en-US" w:eastAsia="zh-CN" w:bidi="ar-SA"/>
    </w:rPr>
  </w:style>
  <w:style w:type="character" w:customStyle="1" w:styleId="253">
    <w:name w:val="引用 Char3"/>
    <w:autoRedefine/>
    <w:qFormat/>
    <w:uiPriority w:val="29"/>
    <w:rPr>
      <w:i/>
      <w:iCs/>
      <w:color w:val="000000"/>
    </w:rPr>
  </w:style>
  <w:style w:type="character" w:customStyle="1" w:styleId="254">
    <w:name w:val="批注框文本 字符"/>
    <w:autoRedefine/>
    <w:qFormat/>
    <w:uiPriority w:val="99"/>
    <w:rPr>
      <w:kern w:val="2"/>
      <w:sz w:val="18"/>
    </w:rPr>
  </w:style>
  <w:style w:type="character" w:customStyle="1" w:styleId="255">
    <w:name w:val="正文文本缩进 字符"/>
    <w:autoRedefine/>
    <w:qFormat/>
    <w:uiPriority w:val="99"/>
    <w:rPr>
      <w:rFonts w:ascii="宋体"/>
      <w:kern w:val="2"/>
      <w:sz w:val="24"/>
    </w:rPr>
  </w:style>
  <w:style w:type="character" w:customStyle="1" w:styleId="256">
    <w:name w:val="明显参考2"/>
    <w:autoRedefine/>
    <w:qFormat/>
    <w:uiPriority w:val="0"/>
    <w:rPr>
      <w:b/>
      <w:bCs/>
      <w:smallCaps/>
      <w:color w:val="C0504D"/>
      <w:spacing w:val="5"/>
      <w:u w:val="single"/>
    </w:rPr>
  </w:style>
  <w:style w:type="character" w:customStyle="1" w:styleId="257">
    <w:name w:val="Char Char26"/>
    <w:autoRedefine/>
    <w:qFormat/>
    <w:uiPriority w:val="0"/>
    <w:rPr>
      <w:rFonts w:ascii="Cambria" w:hAnsi="Cambria" w:eastAsia="宋体"/>
      <w:b/>
      <w:bCs/>
      <w:kern w:val="2"/>
      <w:sz w:val="28"/>
      <w:szCs w:val="28"/>
      <w:lang w:val="en-US" w:eastAsia="zh-CN" w:bidi="ar-SA"/>
    </w:rPr>
  </w:style>
  <w:style w:type="character" w:customStyle="1" w:styleId="258">
    <w:name w:val="明显强调2"/>
    <w:autoRedefine/>
    <w:qFormat/>
    <w:uiPriority w:val="0"/>
    <w:rPr>
      <w:b/>
      <w:bCs/>
      <w:i/>
      <w:iCs/>
      <w:color w:val="4F81BD"/>
    </w:rPr>
  </w:style>
  <w:style w:type="character" w:customStyle="1" w:styleId="259">
    <w:name w:val="Subtitle Char"/>
    <w:autoRedefine/>
    <w:qFormat/>
    <w:locked/>
    <w:uiPriority w:val="0"/>
    <w:rPr>
      <w:rFonts w:ascii="Cambria" w:hAnsi="Cambria"/>
      <w:b/>
      <w:kern w:val="28"/>
      <w:sz w:val="32"/>
    </w:rPr>
  </w:style>
  <w:style w:type="character" w:customStyle="1" w:styleId="260">
    <w:name w:val="Body Text Indent 3 Char"/>
    <w:autoRedefine/>
    <w:qFormat/>
    <w:locked/>
    <w:uiPriority w:val="0"/>
    <w:rPr>
      <w:rFonts w:ascii="宋体" w:eastAsia="宋体"/>
      <w:kern w:val="2"/>
      <w:sz w:val="24"/>
      <w:lang w:val="en-US" w:eastAsia="zh-CN"/>
    </w:rPr>
  </w:style>
  <w:style w:type="character" w:customStyle="1" w:styleId="261">
    <w:name w:val="Body Text Indent Char"/>
    <w:autoRedefine/>
    <w:qFormat/>
    <w:uiPriority w:val="0"/>
    <w:rPr>
      <w:rFonts w:ascii="宋体" w:hAnsi="宋体" w:eastAsia="宋体"/>
      <w:kern w:val="2"/>
      <w:sz w:val="21"/>
      <w:lang w:val="en-US" w:eastAsia="zh-CN" w:bidi="ar-SA"/>
    </w:rPr>
  </w:style>
  <w:style w:type="character" w:customStyle="1" w:styleId="262">
    <w:name w:val="Heading 8 Char"/>
    <w:autoRedefine/>
    <w:qFormat/>
    <w:locked/>
    <w:uiPriority w:val="0"/>
    <w:rPr>
      <w:rFonts w:ascii="Arial" w:hAnsi="Arial" w:eastAsia="黑体"/>
      <w:kern w:val="2"/>
      <w:sz w:val="24"/>
      <w:lang w:val="en-US" w:eastAsia="zh-CN"/>
    </w:rPr>
  </w:style>
  <w:style w:type="character" w:customStyle="1" w:styleId="263">
    <w:name w:val="正文（绿盟科技） Char"/>
    <w:link w:val="264"/>
    <w:autoRedefine/>
    <w:qFormat/>
    <w:uiPriority w:val="0"/>
    <w:rPr>
      <w:rFonts w:ascii="Arial" w:hAnsi="Arial" w:eastAsia="Times New Roman"/>
      <w:sz w:val="22"/>
      <w:lang w:val="en-US" w:eastAsia="zh-CN" w:bidi="ar-SA"/>
    </w:rPr>
  </w:style>
  <w:style w:type="paragraph" w:customStyle="1" w:styleId="264">
    <w:name w:val="正文（绿盟科技）"/>
    <w:link w:val="263"/>
    <w:autoRedefine/>
    <w:qFormat/>
    <w:uiPriority w:val="0"/>
    <w:pPr>
      <w:spacing w:line="300" w:lineRule="auto"/>
    </w:pPr>
    <w:rPr>
      <w:rFonts w:ascii="Arial" w:hAnsi="Arial" w:eastAsia="Times New Roman" w:cs="Times New Roman"/>
      <w:sz w:val="22"/>
      <w:lang w:val="en-US" w:eastAsia="zh-CN" w:bidi="ar-SA"/>
    </w:rPr>
  </w:style>
  <w:style w:type="character" w:customStyle="1" w:styleId="265">
    <w:name w:val="Char Char Char Char Char Char"/>
    <w:autoRedefine/>
    <w:qFormat/>
    <w:uiPriority w:val="0"/>
    <w:rPr>
      <w:rFonts w:eastAsia="宋体" w:cs="Times New Roman"/>
      <w:kern w:val="2"/>
      <w:sz w:val="24"/>
      <w:szCs w:val="24"/>
      <w:lang w:val="en-US" w:eastAsia="zh-CN" w:bidi="ar-SA"/>
    </w:rPr>
  </w:style>
  <w:style w:type="character" w:customStyle="1" w:styleId="266">
    <w:name w:val="bigfont"/>
    <w:autoRedefine/>
    <w:qFormat/>
    <w:uiPriority w:val="0"/>
  </w:style>
  <w:style w:type="character" w:customStyle="1" w:styleId="267">
    <w:name w:val="标题 9 字符"/>
    <w:autoRedefine/>
    <w:qFormat/>
    <w:uiPriority w:val="99"/>
    <w:rPr>
      <w:rFonts w:ascii="Arial" w:hAnsi="Arial" w:eastAsia="黑体"/>
      <w:sz w:val="21"/>
    </w:rPr>
  </w:style>
  <w:style w:type="character" w:customStyle="1" w:styleId="268">
    <w:name w:val="title2"/>
    <w:autoRedefine/>
    <w:qFormat/>
    <w:uiPriority w:val="0"/>
    <w:rPr>
      <w:rFonts w:hint="default" w:ascii="Arial" w:hAnsi="Arial"/>
      <w:b/>
      <w:color w:val="111111"/>
      <w:sz w:val="24"/>
      <w:u w:val="none"/>
    </w:rPr>
  </w:style>
  <w:style w:type="character" w:customStyle="1" w:styleId="269">
    <w:name w:val="标题 4 字符"/>
    <w:autoRedefine/>
    <w:qFormat/>
    <w:uiPriority w:val="99"/>
    <w:rPr>
      <w:rFonts w:ascii="Cambria" w:hAnsi="Cambria"/>
      <w:b/>
      <w:kern w:val="2"/>
      <w:sz w:val="28"/>
    </w:rPr>
  </w:style>
  <w:style w:type="character" w:customStyle="1" w:styleId="270">
    <w:name w:val="Char Char29"/>
    <w:autoRedefine/>
    <w:qFormat/>
    <w:locked/>
    <w:uiPriority w:val="0"/>
    <w:rPr>
      <w:kern w:val="2"/>
      <w:sz w:val="28"/>
      <w:lang w:val="en-US" w:eastAsia="zh-CN" w:bidi="ar-SA"/>
    </w:rPr>
  </w:style>
  <w:style w:type="character" w:customStyle="1" w:styleId="271">
    <w:name w:val="文档结构图 Char2"/>
    <w:autoRedefine/>
    <w:semiHidden/>
    <w:qFormat/>
    <w:uiPriority w:val="99"/>
    <w:rPr>
      <w:rFonts w:ascii="宋体" w:hAnsi="Times New Roman" w:eastAsia="宋体" w:cs="Times New Roman"/>
      <w:sz w:val="18"/>
      <w:szCs w:val="18"/>
    </w:rPr>
  </w:style>
  <w:style w:type="character" w:customStyle="1" w:styleId="272">
    <w:name w:val="页眉 字符"/>
    <w:autoRedefine/>
    <w:qFormat/>
    <w:uiPriority w:val="99"/>
    <w:rPr>
      <w:kern w:val="2"/>
      <w:sz w:val="18"/>
    </w:rPr>
  </w:style>
  <w:style w:type="character" w:customStyle="1" w:styleId="273">
    <w:name w:val="Body Text Char"/>
    <w:autoRedefine/>
    <w:qFormat/>
    <w:locked/>
    <w:uiPriority w:val="0"/>
    <w:rPr>
      <w:rFonts w:eastAsia="仿宋_GB2312"/>
      <w:kern w:val="2"/>
      <w:sz w:val="24"/>
      <w:lang w:val="en-US" w:eastAsia="zh-CN"/>
    </w:rPr>
  </w:style>
  <w:style w:type="character" w:customStyle="1" w:styleId="274">
    <w:name w:val="Char Char281"/>
    <w:autoRedefine/>
    <w:qFormat/>
    <w:locked/>
    <w:uiPriority w:val="0"/>
    <w:rPr>
      <w:rFonts w:ascii="Arial" w:hAnsi="Arial" w:eastAsia="黑体"/>
      <w:b/>
      <w:kern w:val="2"/>
      <w:sz w:val="24"/>
      <w:lang w:val="en-US" w:eastAsia="zh-CN" w:bidi="ar-SA"/>
    </w:rPr>
  </w:style>
  <w:style w:type="character" w:customStyle="1" w:styleId="275">
    <w:name w:val="Balloon Text Char"/>
    <w:autoRedefine/>
    <w:qFormat/>
    <w:uiPriority w:val="0"/>
    <w:rPr>
      <w:sz w:val="18"/>
      <w:lang w:bidi="ar-SA"/>
    </w:rPr>
  </w:style>
  <w:style w:type="character" w:customStyle="1" w:styleId="276">
    <w:name w:val="样式 标题 3h3section:3Level 3 HeadH3level_3PIM 33rd level3H... Char Char"/>
    <w:link w:val="277"/>
    <w:autoRedefine/>
    <w:qFormat/>
    <w:uiPriority w:val="0"/>
    <w:rPr>
      <w:rFonts w:ascii="Arial" w:hAnsi="Arial"/>
      <w:b/>
      <w:sz w:val="24"/>
      <w:szCs w:val="28"/>
    </w:rPr>
  </w:style>
  <w:style w:type="paragraph" w:customStyle="1" w:styleId="277">
    <w:name w:val="样式 标题 3h3section:3Level 3 HeadH3level_3PIM 33rd level3H..."/>
    <w:basedOn w:val="6"/>
    <w:link w:val="276"/>
    <w:autoRedefine/>
    <w:qFormat/>
    <w:uiPriority w:val="0"/>
    <w:pPr>
      <w:numPr>
        <w:ilvl w:val="3"/>
        <w:numId w:val="1"/>
      </w:numPr>
      <w:tabs>
        <w:tab w:val="left" w:pos="1680"/>
      </w:tabs>
      <w:adjustRightInd w:val="0"/>
      <w:spacing w:before="260" w:after="260" w:line="416" w:lineRule="atLeast"/>
      <w:ind w:firstLine="0" w:firstLineChars="0"/>
      <w:textAlignment w:val="baseline"/>
    </w:pPr>
    <w:rPr>
      <w:rFonts w:ascii="Arial" w:hAnsi="Arial" w:eastAsia="宋体"/>
      <w:b/>
      <w:kern w:val="0"/>
      <w:szCs w:val="28"/>
    </w:rPr>
  </w:style>
  <w:style w:type="character" w:customStyle="1" w:styleId="278">
    <w:name w:val="正文文本 Char3"/>
    <w:autoRedefine/>
    <w:semiHidden/>
    <w:qFormat/>
    <w:uiPriority w:val="99"/>
  </w:style>
  <w:style w:type="character" w:customStyle="1" w:styleId="279">
    <w:name w:val="Char Char5"/>
    <w:autoRedefine/>
    <w:qFormat/>
    <w:locked/>
    <w:uiPriority w:val="0"/>
    <w:rPr>
      <w:rFonts w:ascii="宋体" w:hAnsi="宋体" w:eastAsia="宋体"/>
      <w:kern w:val="2"/>
      <w:sz w:val="21"/>
      <w:szCs w:val="24"/>
      <w:lang w:val="en-US" w:eastAsia="zh-CN" w:bidi="ar-SA"/>
    </w:rPr>
  </w:style>
  <w:style w:type="character" w:customStyle="1" w:styleId="280">
    <w:name w:val="Char Char301"/>
    <w:autoRedefine/>
    <w:qFormat/>
    <w:locked/>
    <w:uiPriority w:val="0"/>
    <w:rPr>
      <w:rFonts w:ascii="Arial" w:hAnsi="Arial" w:eastAsia="黑体"/>
      <w:b/>
      <w:bCs/>
      <w:kern w:val="2"/>
      <w:sz w:val="28"/>
      <w:szCs w:val="28"/>
      <w:lang w:val="en-US" w:eastAsia="zh-CN" w:bidi="ar-SA"/>
    </w:rPr>
  </w:style>
  <w:style w:type="character" w:customStyle="1" w:styleId="281">
    <w:name w:val="Char Char6"/>
    <w:autoRedefine/>
    <w:qFormat/>
    <w:uiPriority w:val="0"/>
    <w:rPr>
      <w:rFonts w:eastAsia="宋体"/>
      <w:b/>
      <w:bCs/>
      <w:kern w:val="44"/>
      <w:sz w:val="32"/>
      <w:szCs w:val="44"/>
      <w:lang w:val="en-US" w:eastAsia="zh-CN" w:bidi="ar-SA"/>
    </w:rPr>
  </w:style>
  <w:style w:type="character" w:customStyle="1" w:styleId="282">
    <w:name w:val="Char Char33"/>
    <w:autoRedefine/>
    <w:qFormat/>
    <w:locked/>
    <w:uiPriority w:val="0"/>
    <w:rPr>
      <w:b/>
      <w:bCs/>
      <w:kern w:val="44"/>
      <w:sz w:val="32"/>
      <w:szCs w:val="44"/>
    </w:rPr>
  </w:style>
  <w:style w:type="character" w:customStyle="1" w:styleId="283">
    <w:name w:val="日期 Char2"/>
    <w:autoRedefine/>
    <w:semiHidden/>
    <w:qFormat/>
    <w:uiPriority w:val="99"/>
    <w:rPr>
      <w:rFonts w:ascii="Times New Roman" w:hAnsi="Times New Roman" w:eastAsia="宋体" w:cs="Times New Roman"/>
      <w:szCs w:val="24"/>
    </w:rPr>
  </w:style>
  <w:style w:type="character" w:customStyle="1" w:styleId="284">
    <w:name w:val="称呼 Char1"/>
    <w:autoRedefine/>
    <w:semiHidden/>
    <w:qFormat/>
    <w:uiPriority w:val="99"/>
  </w:style>
  <w:style w:type="character" w:customStyle="1" w:styleId="285">
    <w:name w:val="不明显强调2"/>
    <w:autoRedefine/>
    <w:qFormat/>
    <w:uiPriority w:val="0"/>
    <w:rPr>
      <w:i/>
      <w:iCs/>
      <w:color w:val="808080"/>
    </w:rPr>
  </w:style>
  <w:style w:type="character" w:customStyle="1" w:styleId="286">
    <w:name w:val="正文文本 Char2"/>
    <w:autoRedefine/>
    <w:qFormat/>
    <w:uiPriority w:val="99"/>
    <w:rPr>
      <w:rFonts w:eastAsia="宋体"/>
      <w:kern w:val="2"/>
      <w:sz w:val="21"/>
      <w:szCs w:val="22"/>
      <w:lang w:val="en-US" w:eastAsia="zh-CN" w:bidi="ar-SA"/>
    </w:rPr>
  </w:style>
  <w:style w:type="character" w:customStyle="1" w:styleId="287">
    <w:name w:val="Char Char19"/>
    <w:autoRedefine/>
    <w:qFormat/>
    <w:uiPriority w:val="0"/>
    <w:rPr>
      <w:rFonts w:ascii="Arial" w:hAnsi="Arial" w:eastAsia="宋体" w:cs="Times New Roman"/>
      <w:b/>
      <w:bCs/>
      <w:szCs w:val="28"/>
    </w:rPr>
  </w:style>
  <w:style w:type="character" w:customStyle="1" w:styleId="288">
    <w:name w:val="Char Char141"/>
    <w:autoRedefine/>
    <w:qFormat/>
    <w:uiPriority w:val="0"/>
    <w:rPr>
      <w:rFonts w:eastAsia="宋体"/>
      <w:kern w:val="2"/>
      <w:sz w:val="24"/>
      <w:lang w:val="en-US" w:eastAsia="zh-CN"/>
    </w:rPr>
  </w:style>
  <w:style w:type="character" w:customStyle="1" w:styleId="289">
    <w:name w:val="Char Char291"/>
    <w:autoRedefine/>
    <w:qFormat/>
    <w:uiPriority w:val="0"/>
    <w:rPr>
      <w:rFonts w:eastAsia="宋体"/>
      <w:b/>
      <w:bCs/>
      <w:kern w:val="44"/>
      <w:sz w:val="44"/>
      <w:szCs w:val="44"/>
      <w:lang w:val="en-US" w:eastAsia="zh-CN" w:bidi="ar-SA"/>
    </w:rPr>
  </w:style>
  <w:style w:type="character" w:customStyle="1" w:styleId="290">
    <w:name w:val="正文缩进 Char1"/>
    <w:autoRedefine/>
    <w:qFormat/>
    <w:uiPriority w:val="0"/>
    <w:rPr>
      <w:rFonts w:eastAsia="宋体"/>
      <w:sz w:val="24"/>
      <w:szCs w:val="24"/>
      <w:lang w:val="en-US" w:eastAsia="zh-CN" w:bidi="ar-SA"/>
    </w:rPr>
  </w:style>
  <w:style w:type="character" w:customStyle="1" w:styleId="291">
    <w:name w:val="mini-outputtext1"/>
    <w:autoRedefine/>
    <w:qFormat/>
    <w:uiPriority w:val="0"/>
  </w:style>
  <w:style w:type="character" w:customStyle="1" w:styleId="292">
    <w:name w:val="Document Map Char"/>
    <w:autoRedefine/>
    <w:qFormat/>
    <w:uiPriority w:val="0"/>
    <w:rPr>
      <w:rFonts w:eastAsia="宋体"/>
      <w:kern w:val="2"/>
      <w:sz w:val="21"/>
      <w:szCs w:val="24"/>
      <w:lang w:val="en-US" w:eastAsia="zh-CN" w:bidi="ar-SA"/>
    </w:rPr>
  </w:style>
  <w:style w:type="character" w:customStyle="1" w:styleId="293">
    <w:name w:val="textcontents"/>
    <w:autoRedefine/>
    <w:qFormat/>
    <w:uiPriority w:val="0"/>
    <w:rPr>
      <w:rFonts w:cs="Times New Roman"/>
    </w:rPr>
  </w:style>
  <w:style w:type="character" w:customStyle="1" w:styleId="294">
    <w:name w:val="Char Char181"/>
    <w:autoRedefine/>
    <w:qFormat/>
    <w:uiPriority w:val="0"/>
    <w:rPr>
      <w:b/>
      <w:bCs/>
      <w:kern w:val="44"/>
      <w:sz w:val="44"/>
      <w:szCs w:val="44"/>
    </w:rPr>
  </w:style>
  <w:style w:type="character" w:customStyle="1" w:styleId="295">
    <w:name w:val="标题4 Char Char"/>
    <w:link w:val="296"/>
    <w:autoRedefine/>
    <w:qFormat/>
    <w:uiPriority w:val="0"/>
    <w:rPr>
      <w:rFonts w:ascii="Arial" w:hAnsi="Arial"/>
      <w:b/>
      <w:bCs/>
      <w:sz w:val="24"/>
      <w:szCs w:val="32"/>
    </w:rPr>
  </w:style>
  <w:style w:type="paragraph" w:customStyle="1" w:styleId="296">
    <w:name w:val="标题4"/>
    <w:basedOn w:val="5"/>
    <w:next w:val="23"/>
    <w:link w:val="295"/>
    <w:autoRedefine/>
    <w:qFormat/>
    <w:uiPriority w:val="0"/>
    <w:pPr>
      <w:spacing w:before="60" w:after="60" w:line="413" w:lineRule="auto"/>
    </w:pPr>
    <w:rPr>
      <w:rFonts w:eastAsia="宋体"/>
      <w:bCs/>
      <w:kern w:val="0"/>
      <w:sz w:val="24"/>
      <w:szCs w:val="32"/>
    </w:rPr>
  </w:style>
  <w:style w:type="character" w:customStyle="1" w:styleId="297">
    <w:name w:val="方案文档 Char"/>
    <w:link w:val="298"/>
    <w:autoRedefine/>
    <w:qFormat/>
    <w:uiPriority w:val="0"/>
    <w:rPr>
      <w:rFonts w:ascii="宋体" w:hAnsi="宋体"/>
      <w:sz w:val="24"/>
      <w:szCs w:val="24"/>
      <w:lang w:val="zh-CN"/>
    </w:rPr>
  </w:style>
  <w:style w:type="paragraph" w:customStyle="1" w:styleId="298">
    <w:name w:val="方案文档"/>
    <w:basedOn w:val="1"/>
    <w:link w:val="297"/>
    <w:autoRedefine/>
    <w:qFormat/>
    <w:uiPriority w:val="0"/>
    <w:pPr>
      <w:spacing w:before="120" w:after="120" w:line="360" w:lineRule="auto"/>
      <w:ind w:right="32" w:firstLine="480"/>
    </w:pPr>
    <w:rPr>
      <w:rFonts w:ascii="宋体" w:hAnsi="宋体"/>
      <w:kern w:val="0"/>
      <w:sz w:val="24"/>
      <w:lang w:val="zh-CN"/>
    </w:rPr>
  </w:style>
  <w:style w:type="character" w:customStyle="1" w:styleId="299">
    <w:name w:val="日期 Char1"/>
    <w:autoRedefine/>
    <w:qFormat/>
    <w:uiPriority w:val="0"/>
    <w:rPr>
      <w:rFonts w:ascii="Times New Roman" w:hAnsi="Times New Roman" w:eastAsia="宋体" w:cs="Times New Roman"/>
      <w:szCs w:val="24"/>
    </w:rPr>
  </w:style>
  <w:style w:type="character" w:customStyle="1" w:styleId="300">
    <w:name w:val="正文文本缩进 2 Char2"/>
    <w:autoRedefine/>
    <w:semiHidden/>
    <w:qFormat/>
    <w:uiPriority w:val="99"/>
  </w:style>
  <w:style w:type="character" w:customStyle="1" w:styleId="301">
    <w:name w:val="Heading 5 Char"/>
    <w:autoRedefine/>
    <w:qFormat/>
    <w:uiPriority w:val="0"/>
    <w:rPr>
      <w:rFonts w:eastAsia="宋体"/>
      <w:b/>
      <w:bCs/>
      <w:kern w:val="2"/>
      <w:sz w:val="28"/>
      <w:szCs w:val="28"/>
      <w:lang w:val="en-US" w:eastAsia="zh-CN" w:bidi="ar-SA"/>
    </w:rPr>
  </w:style>
  <w:style w:type="character" w:customStyle="1" w:styleId="302">
    <w:name w:val="明显引用 字符"/>
    <w:autoRedefine/>
    <w:qFormat/>
    <w:uiPriority w:val="99"/>
    <w:rPr>
      <w:b/>
      <w:bCs/>
      <w:i/>
      <w:iCs/>
      <w:color w:val="4F81BD"/>
      <w:kern w:val="2"/>
      <w:sz w:val="21"/>
      <w:szCs w:val="22"/>
      <w:lang w:bidi="ar-SA"/>
    </w:rPr>
  </w:style>
  <w:style w:type="character" w:customStyle="1" w:styleId="303">
    <w:name w:val="HTML 预设格式 Char1"/>
    <w:autoRedefine/>
    <w:qFormat/>
    <w:uiPriority w:val="99"/>
    <w:rPr>
      <w:rFonts w:ascii="Arial" w:hAnsi="Arial" w:eastAsia="Times New Roman"/>
      <w:sz w:val="24"/>
      <w:szCs w:val="24"/>
      <w:lang w:val="en-US" w:eastAsia="zh-CN"/>
    </w:rPr>
  </w:style>
  <w:style w:type="character" w:customStyle="1" w:styleId="304">
    <w:name w:val="Heading 2 Char"/>
    <w:autoRedefine/>
    <w:qFormat/>
    <w:uiPriority w:val="0"/>
    <w:rPr>
      <w:rFonts w:ascii="Arial" w:hAnsi="Arial" w:eastAsia="黑体"/>
      <w:b/>
      <w:bCs/>
      <w:kern w:val="2"/>
      <w:sz w:val="32"/>
      <w:szCs w:val="32"/>
      <w:lang w:val="en-US" w:eastAsia="zh-CN" w:bidi="ar-SA"/>
    </w:rPr>
  </w:style>
  <w:style w:type="character" w:customStyle="1" w:styleId="305">
    <w:name w:val="标题5 Char Char"/>
    <w:link w:val="306"/>
    <w:autoRedefine/>
    <w:qFormat/>
    <w:uiPriority w:val="0"/>
    <w:rPr>
      <w:rFonts w:ascii="Arial" w:hAnsi="Arial"/>
      <w:b/>
      <w:bCs/>
      <w:sz w:val="24"/>
      <w:szCs w:val="32"/>
    </w:rPr>
  </w:style>
  <w:style w:type="paragraph" w:customStyle="1" w:styleId="306">
    <w:name w:val="标题5"/>
    <w:basedOn w:val="6"/>
    <w:link w:val="305"/>
    <w:autoRedefine/>
    <w:qFormat/>
    <w:uiPriority w:val="0"/>
    <w:pPr>
      <w:spacing w:before="260" w:after="260" w:line="413" w:lineRule="auto"/>
      <w:ind w:firstLine="0" w:firstLineChars="0"/>
    </w:pPr>
    <w:rPr>
      <w:rFonts w:ascii="Arial" w:hAnsi="Arial" w:eastAsia="宋体"/>
      <w:b/>
      <w:bCs/>
      <w:kern w:val="0"/>
      <w:szCs w:val="32"/>
    </w:rPr>
  </w:style>
  <w:style w:type="character" w:customStyle="1" w:styleId="307">
    <w:name w:val="页脚 Char3"/>
    <w:autoRedefine/>
    <w:semiHidden/>
    <w:qFormat/>
    <w:uiPriority w:val="99"/>
    <w:rPr>
      <w:sz w:val="18"/>
      <w:szCs w:val="18"/>
    </w:rPr>
  </w:style>
  <w:style w:type="character" w:customStyle="1" w:styleId="308">
    <w:name w:val="标题 1 Char1"/>
    <w:autoRedefine/>
    <w:qFormat/>
    <w:uiPriority w:val="0"/>
    <w:rPr>
      <w:rFonts w:ascii="Calibri" w:hAnsi="Calibri" w:eastAsia="宋体" w:cs="Arial"/>
      <w:b/>
      <w:kern w:val="44"/>
      <w:sz w:val="44"/>
      <w:szCs w:val="20"/>
    </w:rPr>
  </w:style>
  <w:style w:type="character" w:customStyle="1" w:styleId="309">
    <w:name w:val="正文文本缩进 3 Char3"/>
    <w:autoRedefine/>
    <w:semiHidden/>
    <w:qFormat/>
    <w:uiPriority w:val="99"/>
    <w:rPr>
      <w:sz w:val="16"/>
      <w:szCs w:val="16"/>
    </w:rPr>
  </w:style>
  <w:style w:type="character" w:customStyle="1" w:styleId="310">
    <w:name w:val="仿宋，小四"/>
    <w:autoRedefine/>
    <w:qFormat/>
    <w:uiPriority w:val="0"/>
    <w:rPr>
      <w:rFonts w:eastAsia="仿宋_GB2312"/>
      <w:sz w:val="24"/>
    </w:rPr>
  </w:style>
  <w:style w:type="character" w:customStyle="1" w:styleId="311">
    <w:name w:val="Footnote Text Char"/>
    <w:autoRedefine/>
    <w:qFormat/>
    <w:uiPriority w:val="0"/>
    <w:rPr>
      <w:rFonts w:eastAsia="宋体"/>
      <w:sz w:val="18"/>
      <w:lang w:val="en-US" w:eastAsia="zh-CN" w:bidi="ar-SA"/>
    </w:rPr>
  </w:style>
  <w:style w:type="character" w:customStyle="1" w:styleId="312">
    <w:name w:val="Char Char21"/>
    <w:autoRedefine/>
    <w:qFormat/>
    <w:uiPriority w:val="0"/>
    <w:rPr>
      <w:rFonts w:ascii="Arial" w:hAnsi="Arial" w:eastAsia="黑体" w:cs="Times New Roman"/>
      <w:b/>
      <w:bCs/>
      <w:sz w:val="32"/>
      <w:szCs w:val="32"/>
    </w:rPr>
  </w:style>
  <w:style w:type="character" w:customStyle="1" w:styleId="313">
    <w:name w:val="Char Char13"/>
    <w:autoRedefine/>
    <w:qFormat/>
    <w:locked/>
    <w:uiPriority w:val="0"/>
    <w:rPr>
      <w:rFonts w:eastAsia="宋体"/>
      <w:b/>
      <w:bCs/>
      <w:kern w:val="44"/>
      <w:sz w:val="44"/>
      <w:szCs w:val="44"/>
      <w:lang w:val="en-US" w:eastAsia="zh-CN" w:bidi="ar-SA"/>
    </w:rPr>
  </w:style>
  <w:style w:type="character" w:customStyle="1" w:styleId="314">
    <w:name w:val="tt21"/>
    <w:autoRedefine/>
    <w:qFormat/>
    <w:uiPriority w:val="0"/>
    <w:rPr>
      <w:rFonts w:ascii="宋体" w:hAnsi="宋体"/>
      <w:b/>
      <w:bCs/>
      <w:sz w:val="32"/>
      <w:szCs w:val="18"/>
    </w:rPr>
  </w:style>
  <w:style w:type="character" w:customStyle="1" w:styleId="315">
    <w:name w:val="apple-converted-space"/>
    <w:autoRedefine/>
    <w:qFormat/>
    <w:uiPriority w:val="0"/>
  </w:style>
  <w:style w:type="character" w:customStyle="1" w:styleId="316">
    <w:name w:val="Char Char91"/>
    <w:autoRedefine/>
    <w:qFormat/>
    <w:uiPriority w:val="0"/>
    <w:rPr>
      <w:rFonts w:eastAsia="宋体"/>
      <w:b/>
      <w:bCs/>
      <w:kern w:val="44"/>
      <w:sz w:val="32"/>
      <w:szCs w:val="44"/>
      <w:lang w:val="en-US" w:eastAsia="zh-CN" w:bidi="ar-SA"/>
    </w:rPr>
  </w:style>
  <w:style w:type="character" w:customStyle="1" w:styleId="317">
    <w:name w:val="脚注文本 字符"/>
    <w:autoRedefine/>
    <w:qFormat/>
    <w:uiPriority w:val="99"/>
    <w:rPr>
      <w:kern w:val="2"/>
    </w:rPr>
  </w:style>
  <w:style w:type="character" w:customStyle="1" w:styleId="318">
    <w:name w:val="标题 7 字符"/>
    <w:autoRedefine/>
    <w:qFormat/>
    <w:uiPriority w:val="99"/>
    <w:rPr>
      <w:b/>
      <w:sz w:val="24"/>
    </w:rPr>
  </w:style>
  <w:style w:type="character" w:customStyle="1" w:styleId="319">
    <w:name w:val="明显引用 Char2"/>
    <w:autoRedefine/>
    <w:qFormat/>
    <w:uiPriority w:val="30"/>
    <w:rPr>
      <w:rFonts w:ascii="Times New Roman" w:hAnsi="Times New Roman" w:eastAsia="宋体" w:cs="Times New Roman"/>
      <w:b/>
      <w:bCs/>
      <w:i/>
      <w:iCs/>
      <w:color w:val="4F81BD"/>
      <w:szCs w:val="24"/>
    </w:rPr>
  </w:style>
  <w:style w:type="character" w:customStyle="1" w:styleId="320">
    <w:name w:val="Char Char Char Char Char Char1"/>
    <w:autoRedefine/>
    <w:qFormat/>
    <w:uiPriority w:val="0"/>
    <w:rPr>
      <w:rFonts w:eastAsia="宋体" w:cs="Times New Roman"/>
      <w:kern w:val="2"/>
      <w:sz w:val="24"/>
      <w:szCs w:val="24"/>
      <w:lang w:val="en-US" w:eastAsia="zh-CN" w:bidi="ar-SA"/>
    </w:rPr>
  </w:style>
  <w:style w:type="character" w:customStyle="1" w:styleId="321">
    <w:name w:val="副标题 字符"/>
    <w:autoRedefine/>
    <w:qFormat/>
    <w:uiPriority w:val="99"/>
    <w:rPr>
      <w:rFonts w:ascii="Cambria" w:hAnsi="Cambria"/>
      <w:b/>
      <w:kern w:val="28"/>
      <w:sz w:val="32"/>
    </w:rPr>
  </w:style>
  <w:style w:type="character" w:customStyle="1" w:styleId="322">
    <w:name w:val="批注框文本 Char2"/>
    <w:autoRedefine/>
    <w:semiHidden/>
    <w:qFormat/>
    <w:uiPriority w:val="99"/>
    <w:rPr>
      <w:rFonts w:ascii="Times New Roman" w:hAnsi="Times New Roman" w:eastAsia="宋体" w:cs="Times New Roman"/>
      <w:sz w:val="18"/>
      <w:szCs w:val="18"/>
    </w:rPr>
  </w:style>
  <w:style w:type="character" w:customStyle="1" w:styleId="323">
    <w:name w:val="纯文本 字符"/>
    <w:autoRedefine/>
    <w:qFormat/>
    <w:uiPriority w:val="99"/>
    <w:rPr>
      <w:rFonts w:ascii="宋体" w:hAnsi="Courier New"/>
      <w:kern w:val="2"/>
      <w:sz w:val="28"/>
    </w:rPr>
  </w:style>
  <w:style w:type="character" w:customStyle="1" w:styleId="324">
    <w:name w:val="正文文本缩进 3 Char2"/>
    <w:autoRedefine/>
    <w:qFormat/>
    <w:uiPriority w:val="0"/>
    <w:rPr>
      <w:rFonts w:ascii="宋体"/>
      <w:sz w:val="24"/>
    </w:rPr>
  </w:style>
  <w:style w:type="character" w:customStyle="1" w:styleId="325">
    <w:name w:val="超链接_0"/>
    <w:autoRedefine/>
    <w:qFormat/>
    <w:uiPriority w:val="99"/>
    <w:rPr>
      <w:rFonts w:ascii="Calibri" w:hAnsi="Calibri" w:cs="Times New Roman"/>
      <w:color w:val="0000FF"/>
      <w:u w:val="single"/>
    </w:rPr>
  </w:style>
  <w:style w:type="character" w:customStyle="1" w:styleId="326">
    <w:name w:val="明显引用 字符1"/>
    <w:autoRedefine/>
    <w:qFormat/>
    <w:uiPriority w:val="0"/>
    <w:rPr>
      <w:b/>
      <w:bCs/>
      <w:i/>
      <w:iCs/>
      <w:color w:val="4F81BD"/>
      <w:lang w:bidi="ar-SA"/>
    </w:rPr>
  </w:style>
  <w:style w:type="character" w:customStyle="1" w:styleId="327">
    <w:name w:val="Heading 9 Char"/>
    <w:autoRedefine/>
    <w:qFormat/>
    <w:locked/>
    <w:uiPriority w:val="0"/>
    <w:rPr>
      <w:rFonts w:ascii="Arial" w:hAnsi="Arial" w:eastAsia="黑体"/>
      <w:kern w:val="2"/>
      <w:sz w:val="21"/>
      <w:lang w:val="en-US" w:eastAsia="zh-CN"/>
    </w:rPr>
  </w:style>
  <w:style w:type="character" w:customStyle="1" w:styleId="328">
    <w:name w:val="标题 5 字符"/>
    <w:autoRedefine/>
    <w:qFormat/>
    <w:uiPriority w:val="99"/>
    <w:rPr>
      <w:b/>
      <w:kern w:val="2"/>
      <w:sz w:val="28"/>
    </w:rPr>
  </w:style>
  <w:style w:type="character" w:customStyle="1" w:styleId="329">
    <w:name w:val="正文文本 3 Char2"/>
    <w:autoRedefine/>
    <w:qFormat/>
    <w:uiPriority w:val="99"/>
    <w:rPr>
      <w:color w:val="000000"/>
      <w:sz w:val="24"/>
    </w:rPr>
  </w:style>
  <w:style w:type="character" w:customStyle="1" w:styleId="330">
    <w:name w:val="Char Char14"/>
    <w:autoRedefine/>
    <w:qFormat/>
    <w:uiPriority w:val="0"/>
    <w:rPr>
      <w:rFonts w:eastAsia="宋体"/>
      <w:kern w:val="2"/>
      <w:sz w:val="24"/>
      <w:lang w:val="en-US" w:eastAsia="zh-CN"/>
    </w:rPr>
  </w:style>
  <w:style w:type="character" w:customStyle="1" w:styleId="331">
    <w:name w:val="批注主题 Char2"/>
    <w:autoRedefine/>
    <w:semiHidden/>
    <w:qFormat/>
    <w:uiPriority w:val="99"/>
    <w:rPr>
      <w:rFonts w:ascii="Times New Roman" w:hAnsi="Times New Roman" w:eastAsia="宋体" w:cs="Times New Roman"/>
      <w:b/>
      <w:bCs/>
      <w:szCs w:val="24"/>
    </w:rPr>
  </w:style>
  <w:style w:type="character" w:customStyle="1" w:styleId="332">
    <w:name w:val="Char Char20"/>
    <w:autoRedefine/>
    <w:qFormat/>
    <w:uiPriority w:val="0"/>
    <w:rPr>
      <w:rFonts w:ascii="Times New Roman" w:hAnsi="Times New Roman" w:eastAsia="宋体" w:cs="Times New Roman"/>
      <w:b/>
      <w:bCs/>
      <w:sz w:val="24"/>
      <w:szCs w:val="32"/>
    </w:rPr>
  </w:style>
  <w:style w:type="character" w:customStyle="1" w:styleId="333">
    <w:name w:val="Char Char32"/>
    <w:autoRedefine/>
    <w:qFormat/>
    <w:locked/>
    <w:uiPriority w:val="0"/>
    <w:rPr>
      <w:rFonts w:ascii="Arial" w:hAnsi="Arial" w:eastAsia="黑体"/>
      <w:b/>
      <w:bCs/>
      <w:kern w:val="2"/>
      <w:sz w:val="32"/>
      <w:szCs w:val="32"/>
      <w:lang w:val="en-US" w:eastAsia="zh-CN" w:bidi="ar-SA"/>
    </w:rPr>
  </w:style>
  <w:style w:type="character" w:customStyle="1" w:styleId="334">
    <w:name w:val="批注文字 Char3"/>
    <w:autoRedefine/>
    <w:qFormat/>
    <w:uiPriority w:val="99"/>
    <w:rPr>
      <w:rFonts w:eastAsia="宋体"/>
      <w:kern w:val="2"/>
      <w:sz w:val="21"/>
      <w:szCs w:val="24"/>
      <w:lang w:val="en-US" w:eastAsia="zh-CN" w:bidi="ar-SA"/>
    </w:rPr>
  </w:style>
  <w:style w:type="character" w:customStyle="1" w:styleId="335">
    <w:name w:val="正文首行缩进 Char1"/>
    <w:autoRedefine/>
    <w:semiHidden/>
    <w:qFormat/>
    <w:uiPriority w:val="99"/>
  </w:style>
  <w:style w:type="character" w:customStyle="1" w:styleId="336">
    <w:name w:val="批注文字 字符"/>
    <w:autoRedefine/>
    <w:qFormat/>
    <w:uiPriority w:val="99"/>
    <w:rPr>
      <w:kern w:val="2"/>
      <w:sz w:val="21"/>
    </w:rPr>
  </w:style>
  <w:style w:type="character" w:customStyle="1" w:styleId="337">
    <w:name w:val="正文文本缩进 2 字符"/>
    <w:autoRedefine/>
    <w:qFormat/>
    <w:uiPriority w:val="99"/>
    <w:rPr>
      <w:rFonts w:ascii="宋体"/>
      <w:kern w:val="2"/>
      <w:sz w:val="21"/>
    </w:rPr>
  </w:style>
  <w:style w:type="character" w:customStyle="1" w:styleId="338">
    <w:name w:val="标题 2 字符"/>
    <w:autoRedefine/>
    <w:qFormat/>
    <w:uiPriority w:val="99"/>
    <w:rPr>
      <w:rFonts w:ascii="Arial" w:hAnsi="Arial" w:eastAsia="黑体"/>
      <w:b/>
      <w:kern w:val="2"/>
      <w:sz w:val="32"/>
    </w:rPr>
  </w:style>
  <w:style w:type="character" w:customStyle="1" w:styleId="339">
    <w:name w:val="Char Char241"/>
    <w:autoRedefine/>
    <w:qFormat/>
    <w:uiPriority w:val="0"/>
    <w:rPr>
      <w:rFonts w:ascii="Cambria" w:hAnsi="Cambria" w:eastAsia="宋体"/>
      <w:b/>
      <w:bCs/>
      <w:kern w:val="2"/>
      <w:sz w:val="24"/>
      <w:szCs w:val="24"/>
      <w:lang w:val="en-US" w:eastAsia="zh-CN" w:bidi="ar-SA"/>
    </w:rPr>
  </w:style>
  <w:style w:type="character" w:customStyle="1" w:styleId="340">
    <w:name w:val="纯文本 Char2"/>
    <w:autoRedefine/>
    <w:semiHidden/>
    <w:qFormat/>
    <w:uiPriority w:val="99"/>
    <w:rPr>
      <w:rFonts w:ascii="宋体" w:hAnsi="Courier New" w:eastAsia="宋体" w:cs="Courier New"/>
      <w:szCs w:val="21"/>
    </w:rPr>
  </w:style>
  <w:style w:type="character" w:customStyle="1" w:styleId="341">
    <w:name w:val="Plain Text Char"/>
    <w:autoRedefine/>
    <w:qFormat/>
    <w:uiPriority w:val="0"/>
    <w:rPr>
      <w:rFonts w:ascii="宋体" w:hAnsi="Courier New" w:eastAsia="宋体"/>
      <w:sz w:val="24"/>
      <w:lang w:bidi="ar-SA"/>
    </w:rPr>
  </w:style>
  <w:style w:type="character" w:customStyle="1" w:styleId="342">
    <w:name w:val="普通文字 Char"/>
    <w:autoRedefine/>
    <w:qFormat/>
    <w:uiPriority w:val="0"/>
    <w:rPr>
      <w:rFonts w:ascii="宋体" w:hAnsi="Courier New" w:cs="Courier New"/>
      <w:kern w:val="2"/>
      <w:sz w:val="21"/>
      <w:szCs w:val="21"/>
    </w:rPr>
  </w:style>
  <w:style w:type="character" w:customStyle="1" w:styleId="343">
    <w:name w:val="批注文字 Char4"/>
    <w:autoRedefine/>
    <w:semiHidden/>
    <w:qFormat/>
    <w:uiPriority w:val="99"/>
  </w:style>
  <w:style w:type="character" w:customStyle="1" w:styleId="344">
    <w:name w:val="Char Char22"/>
    <w:autoRedefine/>
    <w:qFormat/>
    <w:uiPriority w:val="0"/>
    <w:rPr>
      <w:rFonts w:ascii="Times New Roman" w:hAnsi="Times New Roman" w:eastAsia="宋体" w:cs="Times New Roman"/>
      <w:b/>
      <w:bCs/>
      <w:kern w:val="44"/>
      <w:sz w:val="32"/>
      <w:szCs w:val="44"/>
    </w:rPr>
  </w:style>
  <w:style w:type="character" w:customStyle="1" w:styleId="345">
    <w:name w:val="文档结构图 Char3"/>
    <w:autoRedefine/>
    <w:semiHidden/>
    <w:qFormat/>
    <w:uiPriority w:val="99"/>
    <w:rPr>
      <w:rFonts w:ascii="宋体" w:eastAsia="宋体"/>
      <w:sz w:val="18"/>
      <w:szCs w:val="18"/>
    </w:rPr>
  </w:style>
  <w:style w:type="character" w:customStyle="1" w:styleId="346">
    <w:name w:val="10"/>
    <w:autoRedefine/>
    <w:qFormat/>
    <w:uiPriority w:val="0"/>
    <w:rPr>
      <w:rFonts w:hint="default" w:ascii="Times New Roman" w:hAnsi="Times New Roman" w:cs="Times New Roman"/>
    </w:rPr>
  </w:style>
  <w:style w:type="character" w:customStyle="1" w:styleId="347">
    <w:name w:val="标题 Char2"/>
    <w:autoRedefine/>
    <w:qFormat/>
    <w:uiPriority w:val="0"/>
    <w:rPr>
      <w:rFonts w:ascii="Cambria" w:hAnsi="Cambria" w:eastAsia="宋体" w:cs="Times New Roman"/>
      <w:b/>
      <w:bCs/>
      <w:sz w:val="32"/>
      <w:szCs w:val="32"/>
    </w:rPr>
  </w:style>
  <w:style w:type="character" w:customStyle="1" w:styleId="348">
    <w:name w:val="Salutation Char"/>
    <w:autoRedefine/>
    <w:qFormat/>
    <w:locked/>
    <w:uiPriority w:val="0"/>
    <w:rPr>
      <w:rFonts w:cs="Times New Roman"/>
      <w:sz w:val="30"/>
    </w:rPr>
  </w:style>
  <w:style w:type="character" w:customStyle="1" w:styleId="349">
    <w:name w:val="标题 Char3"/>
    <w:autoRedefine/>
    <w:qFormat/>
    <w:uiPriority w:val="10"/>
    <w:rPr>
      <w:rFonts w:ascii="Cambria" w:hAnsi="Cambria" w:eastAsia="宋体" w:cs="Times New Roman"/>
      <w:b/>
      <w:bCs/>
      <w:sz w:val="32"/>
      <w:szCs w:val="32"/>
    </w:rPr>
  </w:style>
  <w:style w:type="character" w:customStyle="1" w:styleId="350">
    <w:name w:val="脚注文本 Char2"/>
    <w:autoRedefine/>
    <w:semiHidden/>
    <w:qFormat/>
    <w:uiPriority w:val="99"/>
    <w:rPr>
      <w:sz w:val="18"/>
      <w:szCs w:val="18"/>
    </w:rPr>
  </w:style>
  <w:style w:type="character" w:customStyle="1" w:styleId="351">
    <w:name w:val="样式3 Char Char Char Char"/>
    <w:link w:val="352"/>
    <w:autoRedefine/>
    <w:qFormat/>
    <w:uiPriority w:val="0"/>
    <w:rPr>
      <w:rFonts w:eastAsia="黑体"/>
      <w:b/>
      <w:bCs/>
      <w:sz w:val="32"/>
      <w:szCs w:val="32"/>
    </w:rPr>
  </w:style>
  <w:style w:type="paragraph" w:customStyle="1" w:styleId="352">
    <w:name w:val="样式3 Char"/>
    <w:basedOn w:val="6"/>
    <w:next w:val="1"/>
    <w:link w:val="351"/>
    <w:autoRedefine/>
    <w:qFormat/>
    <w:uiPriority w:val="0"/>
    <w:pPr>
      <w:spacing w:before="260" w:after="260" w:line="240" w:lineRule="auto"/>
      <w:ind w:firstLine="0" w:firstLineChars="0"/>
      <w:jc w:val="center"/>
    </w:pPr>
    <w:rPr>
      <w:rFonts w:hAnsi="Times New Roman"/>
      <w:b/>
      <w:bCs/>
      <w:kern w:val="0"/>
      <w:sz w:val="32"/>
      <w:szCs w:val="32"/>
    </w:rPr>
  </w:style>
  <w:style w:type="character" w:customStyle="1" w:styleId="353">
    <w:name w:val="标题 1 字符"/>
    <w:autoRedefine/>
    <w:qFormat/>
    <w:uiPriority w:val="99"/>
    <w:rPr>
      <w:b/>
      <w:kern w:val="44"/>
      <w:sz w:val="44"/>
    </w:rPr>
  </w:style>
  <w:style w:type="character" w:customStyle="1" w:styleId="354">
    <w:name w:val="Body Text Indent 2 Char"/>
    <w:autoRedefine/>
    <w:qFormat/>
    <w:uiPriority w:val="0"/>
    <w:rPr>
      <w:rFonts w:eastAsia="宋体"/>
      <w:kern w:val="2"/>
      <w:sz w:val="21"/>
      <w:szCs w:val="24"/>
      <w:lang w:val="en-US" w:eastAsia="zh-CN" w:bidi="ar-SA"/>
    </w:rPr>
  </w:style>
  <w:style w:type="character" w:customStyle="1" w:styleId="355">
    <w:name w:val="Header Char"/>
    <w:autoRedefine/>
    <w:qFormat/>
    <w:uiPriority w:val="0"/>
    <w:rPr>
      <w:rFonts w:eastAsia="宋体"/>
      <w:kern w:val="2"/>
      <w:sz w:val="18"/>
      <w:szCs w:val="18"/>
      <w:lang w:val="en-US" w:eastAsia="zh-CN" w:bidi="ar-SA"/>
    </w:rPr>
  </w:style>
  <w:style w:type="character" w:customStyle="1" w:styleId="356">
    <w:name w:val="Heading 7 Char"/>
    <w:autoRedefine/>
    <w:qFormat/>
    <w:locked/>
    <w:uiPriority w:val="0"/>
    <w:rPr>
      <w:rFonts w:eastAsia="宋体"/>
      <w:b/>
      <w:kern w:val="2"/>
      <w:sz w:val="24"/>
      <w:lang w:val="en-US" w:eastAsia="zh-CN"/>
    </w:rPr>
  </w:style>
  <w:style w:type="character" w:customStyle="1" w:styleId="357">
    <w:name w:val="newsbg1"/>
    <w:autoRedefine/>
    <w:qFormat/>
    <w:uiPriority w:val="0"/>
  </w:style>
  <w:style w:type="character" w:customStyle="1" w:styleId="358">
    <w:name w:val="Char Char261"/>
    <w:autoRedefine/>
    <w:qFormat/>
    <w:locked/>
    <w:uiPriority w:val="0"/>
    <w:rPr>
      <w:rFonts w:ascii="Arial" w:hAnsi="Arial" w:eastAsia="黑体"/>
      <w:kern w:val="2"/>
      <w:sz w:val="24"/>
      <w:lang w:val="en-US" w:eastAsia="zh-CN" w:bidi="ar-SA"/>
    </w:rPr>
  </w:style>
  <w:style w:type="character" w:customStyle="1" w:styleId="359">
    <w:name w:val="level1"/>
    <w:autoRedefine/>
    <w:qFormat/>
    <w:uiPriority w:val="0"/>
  </w:style>
  <w:style w:type="character" w:customStyle="1" w:styleId="360">
    <w:name w:val="引用 字符1"/>
    <w:autoRedefine/>
    <w:qFormat/>
    <w:uiPriority w:val="0"/>
    <w:rPr>
      <w:i/>
      <w:iCs/>
      <w:color w:val="000000"/>
      <w:lang w:bidi="ar-SA"/>
    </w:rPr>
  </w:style>
  <w:style w:type="character" w:customStyle="1" w:styleId="361">
    <w:name w:val="Char Char251"/>
    <w:autoRedefine/>
    <w:qFormat/>
    <w:uiPriority w:val="0"/>
    <w:rPr>
      <w:rFonts w:ascii="Calibri" w:hAnsi="Calibri" w:eastAsia="宋体"/>
      <w:b/>
      <w:bCs/>
      <w:kern w:val="2"/>
      <w:sz w:val="28"/>
      <w:szCs w:val="28"/>
      <w:lang w:val="en-US" w:eastAsia="zh-CN" w:bidi="ar-SA"/>
    </w:rPr>
  </w:style>
  <w:style w:type="character" w:customStyle="1" w:styleId="362">
    <w:name w:val="apple-style-span"/>
    <w:autoRedefine/>
    <w:qFormat/>
    <w:uiPriority w:val="0"/>
    <w:rPr>
      <w:rFonts w:cs="Times New Roman"/>
    </w:rPr>
  </w:style>
  <w:style w:type="character" w:customStyle="1" w:styleId="363">
    <w:name w:val="Comment Text Char1"/>
    <w:autoRedefine/>
    <w:qFormat/>
    <w:uiPriority w:val="0"/>
    <w:rPr>
      <w:sz w:val="24"/>
      <w:lang w:bidi="ar-SA"/>
    </w:rPr>
  </w:style>
  <w:style w:type="character" w:customStyle="1" w:styleId="364">
    <w:name w:val="正文文本 2 Char1"/>
    <w:autoRedefine/>
    <w:semiHidden/>
    <w:qFormat/>
    <w:uiPriority w:val="99"/>
  </w:style>
  <w:style w:type="character" w:customStyle="1" w:styleId="365">
    <w:name w:val="正文文本缩进 Char2"/>
    <w:autoRedefine/>
    <w:semiHidden/>
    <w:qFormat/>
    <w:uiPriority w:val="99"/>
  </w:style>
  <w:style w:type="character" w:customStyle="1" w:styleId="366">
    <w:name w:val="明显引用 Char3"/>
    <w:autoRedefine/>
    <w:qFormat/>
    <w:uiPriority w:val="30"/>
    <w:rPr>
      <w:b/>
      <w:bCs/>
      <w:i/>
      <w:iCs/>
      <w:color w:val="4F81BD"/>
    </w:rPr>
  </w:style>
  <w:style w:type="paragraph" w:customStyle="1" w:styleId="367">
    <w:name w:val="样式7"/>
    <w:basedOn w:val="34"/>
    <w:next w:val="1"/>
    <w:autoRedefine/>
    <w:qFormat/>
    <w:uiPriority w:val="0"/>
    <w:pPr>
      <w:tabs>
        <w:tab w:val="right" w:leader="dot" w:pos="9200"/>
      </w:tabs>
    </w:pPr>
    <w:rPr>
      <w:rFonts w:eastAsia="仿宋_GB2312"/>
      <w:sz w:val="28"/>
      <w:szCs w:val="21"/>
    </w:rPr>
  </w:style>
  <w:style w:type="character" w:customStyle="1" w:styleId="368">
    <w:name w:val="批注框文本 Char4"/>
    <w:autoRedefine/>
    <w:semiHidden/>
    <w:qFormat/>
    <w:uiPriority w:val="99"/>
    <w:rPr>
      <w:rFonts w:ascii="Times New Roman" w:hAnsi="Times New Roman" w:eastAsia="宋体" w:cs="Times New Roman"/>
      <w:sz w:val="18"/>
      <w:szCs w:val="18"/>
    </w:rPr>
  </w:style>
  <w:style w:type="character" w:customStyle="1" w:styleId="369">
    <w:name w:val="正文文本 Char4"/>
    <w:autoRedefine/>
    <w:qFormat/>
    <w:uiPriority w:val="99"/>
    <w:rPr>
      <w:rFonts w:ascii="Times New Roman" w:hAnsi="Times New Roman" w:eastAsia="宋体" w:cs="Times New Roman"/>
      <w:szCs w:val="24"/>
    </w:rPr>
  </w:style>
  <w:style w:type="character" w:customStyle="1" w:styleId="370">
    <w:name w:val="正文首行缩进 Char2"/>
    <w:autoRedefine/>
    <w:semiHidden/>
    <w:qFormat/>
    <w:uiPriority w:val="99"/>
    <w:rPr>
      <w:rFonts w:cs="Times New Roman"/>
      <w:kern w:val="2"/>
      <w:sz w:val="21"/>
      <w:szCs w:val="24"/>
    </w:rPr>
  </w:style>
  <w:style w:type="character" w:customStyle="1" w:styleId="371">
    <w:name w:val="正文文本缩进 Char3"/>
    <w:autoRedefine/>
    <w:semiHidden/>
    <w:qFormat/>
    <w:uiPriority w:val="99"/>
    <w:rPr>
      <w:rFonts w:ascii="Times New Roman" w:hAnsi="Times New Roman" w:eastAsia="宋体" w:cs="Times New Roman"/>
      <w:szCs w:val="24"/>
    </w:rPr>
  </w:style>
  <w:style w:type="character" w:customStyle="1" w:styleId="372">
    <w:name w:val="正文文本缩进 3 Char4"/>
    <w:autoRedefine/>
    <w:semiHidden/>
    <w:qFormat/>
    <w:uiPriority w:val="99"/>
    <w:rPr>
      <w:rFonts w:ascii="Times New Roman" w:hAnsi="Times New Roman" w:eastAsia="宋体" w:cs="Times New Roman"/>
      <w:sz w:val="16"/>
      <w:szCs w:val="16"/>
    </w:rPr>
  </w:style>
  <w:style w:type="paragraph" w:customStyle="1" w:styleId="373">
    <w:name w:val="标题 1_0"/>
    <w:basedOn w:val="374"/>
    <w:next w:val="374"/>
    <w:autoRedefine/>
    <w:qFormat/>
    <w:uiPriority w:val="0"/>
    <w:pPr>
      <w:keepNext/>
      <w:keepLines/>
      <w:spacing w:before="340" w:after="330" w:line="576" w:lineRule="auto"/>
      <w:outlineLvl w:val="0"/>
    </w:pPr>
    <w:rPr>
      <w:rFonts w:ascii="Times New Roman" w:hAnsi="Times New Roman"/>
      <w:b/>
      <w:bCs/>
      <w:kern w:val="44"/>
      <w:sz w:val="44"/>
      <w:szCs w:val="44"/>
    </w:rPr>
  </w:style>
  <w:style w:type="paragraph" w:customStyle="1" w:styleId="374">
    <w:name w:val="正文_0"/>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375">
    <w:name w:val="页眉 Char4"/>
    <w:autoRedefine/>
    <w:semiHidden/>
    <w:qFormat/>
    <w:uiPriority w:val="99"/>
    <w:rPr>
      <w:rFonts w:ascii="Times New Roman" w:hAnsi="Times New Roman" w:eastAsia="宋体" w:cs="Times New Roman"/>
      <w:sz w:val="18"/>
      <w:szCs w:val="18"/>
    </w:rPr>
  </w:style>
  <w:style w:type="character" w:customStyle="1" w:styleId="376">
    <w:name w:val="日期 Char4"/>
    <w:autoRedefine/>
    <w:semiHidden/>
    <w:qFormat/>
    <w:uiPriority w:val="99"/>
    <w:rPr>
      <w:rFonts w:ascii="Times New Roman" w:hAnsi="Times New Roman" w:eastAsia="宋体" w:cs="Times New Roman"/>
      <w:szCs w:val="24"/>
    </w:rPr>
  </w:style>
  <w:style w:type="character" w:customStyle="1" w:styleId="377">
    <w:name w:val="正文文本 3 Char4"/>
    <w:autoRedefine/>
    <w:semiHidden/>
    <w:qFormat/>
    <w:uiPriority w:val="99"/>
    <w:rPr>
      <w:rFonts w:ascii="Times New Roman" w:hAnsi="Times New Roman" w:eastAsia="宋体" w:cs="Times New Roman"/>
      <w:sz w:val="16"/>
      <w:szCs w:val="16"/>
    </w:rPr>
  </w:style>
  <w:style w:type="paragraph" w:customStyle="1" w:styleId="378">
    <w:name w:val="样式 宋体 首行缩进:  2 字符 段前: 7.8 磅 段后: 7.8 磅"/>
    <w:basedOn w:val="1"/>
    <w:autoRedefine/>
    <w:qFormat/>
    <w:uiPriority w:val="0"/>
    <w:pPr>
      <w:adjustRightInd w:val="0"/>
      <w:snapToGrid w:val="0"/>
      <w:spacing w:before="156" w:after="156" w:line="360" w:lineRule="auto"/>
      <w:ind w:firstLine="200" w:firstLineChars="200"/>
    </w:pPr>
    <w:rPr>
      <w:rFonts w:ascii="宋体" w:hAnsi="宋体" w:cs="宋体"/>
      <w:szCs w:val="20"/>
    </w:rPr>
  </w:style>
  <w:style w:type="character" w:customStyle="1" w:styleId="379">
    <w:name w:val="脚注文本 Char3"/>
    <w:autoRedefine/>
    <w:semiHidden/>
    <w:qFormat/>
    <w:uiPriority w:val="99"/>
    <w:rPr>
      <w:rFonts w:ascii="Times New Roman" w:hAnsi="Times New Roman" w:eastAsia="宋体" w:cs="Times New Roman"/>
      <w:sz w:val="18"/>
      <w:szCs w:val="18"/>
    </w:rPr>
  </w:style>
  <w:style w:type="character" w:customStyle="1" w:styleId="380">
    <w:name w:val="页脚 Char4"/>
    <w:autoRedefine/>
    <w:semiHidden/>
    <w:qFormat/>
    <w:uiPriority w:val="99"/>
    <w:rPr>
      <w:rFonts w:ascii="Times New Roman" w:hAnsi="Times New Roman" w:eastAsia="宋体" w:cs="Times New Roman"/>
      <w:sz w:val="18"/>
      <w:szCs w:val="18"/>
    </w:rPr>
  </w:style>
  <w:style w:type="character" w:customStyle="1" w:styleId="381">
    <w:name w:val="正文文本缩进 2 Char3"/>
    <w:autoRedefine/>
    <w:semiHidden/>
    <w:qFormat/>
    <w:uiPriority w:val="99"/>
    <w:rPr>
      <w:rFonts w:ascii="Times New Roman" w:hAnsi="Times New Roman" w:eastAsia="宋体" w:cs="Times New Roman"/>
      <w:szCs w:val="24"/>
    </w:rPr>
  </w:style>
  <w:style w:type="character" w:customStyle="1" w:styleId="382">
    <w:name w:val="纯文本 Char4"/>
    <w:autoRedefine/>
    <w:semiHidden/>
    <w:qFormat/>
    <w:uiPriority w:val="99"/>
    <w:rPr>
      <w:rFonts w:ascii="宋体" w:hAnsi="Courier New" w:eastAsia="宋体" w:cs="Courier New"/>
      <w:szCs w:val="21"/>
    </w:rPr>
  </w:style>
  <w:style w:type="character" w:customStyle="1" w:styleId="383">
    <w:name w:val="批注文字 Char5"/>
    <w:autoRedefine/>
    <w:qFormat/>
    <w:uiPriority w:val="99"/>
    <w:rPr>
      <w:rFonts w:ascii="Times New Roman" w:hAnsi="Times New Roman" w:eastAsia="宋体" w:cs="Times New Roman"/>
      <w:szCs w:val="24"/>
    </w:rPr>
  </w:style>
  <w:style w:type="character" w:customStyle="1" w:styleId="384">
    <w:name w:val="批注主题 Char4"/>
    <w:autoRedefine/>
    <w:semiHidden/>
    <w:qFormat/>
    <w:uiPriority w:val="99"/>
    <w:rPr>
      <w:rFonts w:ascii="Times New Roman" w:hAnsi="Times New Roman" w:eastAsia="宋体" w:cs="Times New Roman"/>
      <w:b/>
      <w:bCs/>
      <w:szCs w:val="24"/>
    </w:rPr>
  </w:style>
  <w:style w:type="character" w:customStyle="1" w:styleId="385">
    <w:name w:val="HTML 预设格式 Char3"/>
    <w:autoRedefine/>
    <w:semiHidden/>
    <w:qFormat/>
    <w:uiPriority w:val="99"/>
    <w:rPr>
      <w:rFonts w:ascii="Courier New" w:hAnsi="Courier New" w:eastAsia="宋体" w:cs="Courier New"/>
      <w:sz w:val="20"/>
      <w:szCs w:val="20"/>
    </w:rPr>
  </w:style>
  <w:style w:type="paragraph" w:customStyle="1" w:styleId="386">
    <w:name w:val="xl156"/>
    <w:basedOn w:val="1"/>
    <w:autoRedefine/>
    <w:qFormat/>
    <w:uiPriority w:val="0"/>
    <w:pPr>
      <w:widowControl/>
      <w:pBdr>
        <w:top w:val="single" w:color="auto" w:sz="4" w:space="0"/>
        <w:bottom w:val="single" w:color="auto" w:sz="4" w:space="0"/>
        <w:right w:val="single" w:color="auto" w:sz="4" w:space="0"/>
      </w:pBdr>
      <w:shd w:val="clear" w:color="000000" w:fill="C0C0C0"/>
      <w:spacing w:before="100" w:beforeAutospacing="1" w:after="100" w:afterAutospacing="1"/>
      <w:jc w:val="left"/>
    </w:pPr>
    <w:rPr>
      <w:rFonts w:ascii="宋体" w:hAnsi="宋体" w:cs="宋体"/>
      <w:kern w:val="0"/>
      <w:sz w:val="20"/>
      <w:szCs w:val="20"/>
    </w:rPr>
  </w:style>
  <w:style w:type="character" w:customStyle="1" w:styleId="387">
    <w:name w:val="正文文本 2 Char2"/>
    <w:autoRedefine/>
    <w:semiHidden/>
    <w:qFormat/>
    <w:uiPriority w:val="99"/>
    <w:rPr>
      <w:kern w:val="2"/>
      <w:sz w:val="21"/>
      <w:szCs w:val="24"/>
    </w:rPr>
  </w:style>
  <w:style w:type="paragraph" w:customStyle="1" w:styleId="388">
    <w:name w:val="样式 (中文) 黑体 小二 居中 行距: 1.5 倍行距"/>
    <w:basedOn w:val="1"/>
    <w:next w:val="1"/>
    <w:autoRedefine/>
    <w:qFormat/>
    <w:uiPriority w:val="0"/>
    <w:pPr>
      <w:jc w:val="center"/>
    </w:pPr>
    <w:rPr>
      <w:rFonts w:eastAsia="黑体" w:cs="宋体"/>
      <w:sz w:val="36"/>
      <w:szCs w:val="20"/>
    </w:rPr>
  </w:style>
  <w:style w:type="character" w:customStyle="1" w:styleId="389">
    <w:name w:val="副标题 Char4"/>
    <w:autoRedefine/>
    <w:qFormat/>
    <w:uiPriority w:val="11"/>
    <w:rPr>
      <w:rFonts w:ascii="Cambria" w:hAnsi="Cambria" w:eastAsia="宋体" w:cs="Times New Roman"/>
      <w:b/>
      <w:bCs/>
      <w:kern w:val="28"/>
      <w:sz w:val="32"/>
      <w:szCs w:val="32"/>
    </w:rPr>
  </w:style>
  <w:style w:type="paragraph" w:customStyle="1" w:styleId="390">
    <w:name w:val="正文2"/>
    <w:autoRedefine/>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character" w:customStyle="1" w:styleId="391">
    <w:name w:val="称呼 Char2"/>
    <w:autoRedefine/>
    <w:semiHidden/>
    <w:qFormat/>
    <w:uiPriority w:val="99"/>
    <w:rPr>
      <w:kern w:val="2"/>
      <w:sz w:val="21"/>
      <w:szCs w:val="24"/>
    </w:rPr>
  </w:style>
  <w:style w:type="character" w:customStyle="1" w:styleId="392">
    <w:name w:val="标题 Char5"/>
    <w:autoRedefine/>
    <w:qFormat/>
    <w:uiPriority w:val="10"/>
    <w:rPr>
      <w:rFonts w:ascii="Cambria" w:hAnsi="Cambria" w:eastAsia="宋体" w:cs="Times New Roman"/>
      <w:b/>
      <w:bCs/>
      <w:sz w:val="32"/>
      <w:szCs w:val="32"/>
    </w:rPr>
  </w:style>
  <w:style w:type="paragraph" w:customStyle="1" w:styleId="393">
    <w:name w:val="华文细黑1"/>
    <w:basedOn w:val="1"/>
    <w:autoRedefine/>
    <w:qFormat/>
    <w:uiPriority w:val="0"/>
    <w:pPr>
      <w:widowControl/>
      <w:spacing w:line="300" w:lineRule="auto"/>
      <w:ind w:firstLine="200" w:firstLineChars="200"/>
      <w:jc w:val="left"/>
    </w:pPr>
    <w:rPr>
      <w:rFonts w:eastAsia="华文细黑"/>
      <w:kern w:val="0"/>
      <w:sz w:val="24"/>
    </w:rPr>
  </w:style>
  <w:style w:type="character" w:customStyle="1" w:styleId="394">
    <w:name w:val="文档结构图 Char4"/>
    <w:autoRedefine/>
    <w:semiHidden/>
    <w:qFormat/>
    <w:uiPriority w:val="99"/>
    <w:rPr>
      <w:rFonts w:ascii="宋体" w:hAnsi="Times New Roman" w:eastAsia="宋体" w:cs="Times New Roman"/>
      <w:sz w:val="18"/>
      <w:szCs w:val="18"/>
    </w:rPr>
  </w:style>
  <w:style w:type="paragraph" w:customStyle="1" w:styleId="395">
    <w:name w:val="文档正文"/>
    <w:basedOn w:val="1"/>
    <w:autoRedefine/>
    <w:qFormat/>
    <w:uiPriority w:val="0"/>
    <w:pPr>
      <w:adjustRightInd w:val="0"/>
      <w:spacing w:line="480" w:lineRule="atLeast"/>
      <w:ind w:firstLine="567"/>
    </w:pPr>
    <w:rPr>
      <w:rFonts w:ascii="长城仿宋"/>
      <w:kern w:val="0"/>
      <w:sz w:val="24"/>
      <w:szCs w:val="20"/>
    </w:rPr>
  </w:style>
  <w:style w:type="paragraph" w:customStyle="1" w:styleId="396">
    <w:name w:val="_Style 7"/>
    <w:basedOn w:val="1"/>
    <w:next w:val="1"/>
    <w:autoRedefine/>
    <w:qFormat/>
    <w:uiPriority w:val="0"/>
    <w:pPr>
      <w:widowControl/>
      <w:spacing w:after="160" w:line="240" w:lineRule="exact"/>
      <w:jc w:val="left"/>
    </w:pPr>
  </w:style>
  <w:style w:type="paragraph" w:customStyle="1" w:styleId="397">
    <w:name w:val="Char Char Char Char Char Char Char11"/>
    <w:basedOn w:val="1"/>
    <w:autoRedefine/>
    <w:qFormat/>
    <w:uiPriority w:val="0"/>
    <w:pPr>
      <w:widowControl/>
      <w:spacing w:line="400" w:lineRule="exact"/>
      <w:jc w:val="center"/>
    </w:pPr>
    <w:rPr>
      <w:rFonts w:ascii="Verdana" w:hAnsi="Verdana"/>
      <w:kern w:val="0"/>
      <w:szCs w:val="20"/>
      <w:lang w:eastAsia="en-US"/>
    </w:rPr>
  </w:style>
  <w:style w:type="paragraph" w:customStyle="1" w:styleId="398">
    <w:name w:val="xl1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99">
    <w:name w:val="样式 (中文) 黑体 小二 行距: 1.5 倍行距"/>
    <w:basedOn w:val="1"/>
    <w:autoRedefine/>
    <w:qFormat/>
    <w:uiPriority w:val="0"/>
    <w:pPr>
      <w:spacing w:line="360" w:lineRule="auto"/>
    </w:pPr>
    <w:rPr>
      <w:rFonts w:eastAsia="黑体" w:cs="宋体"/>
      <w:sz w:val="36"/>
      <w:szCs w:val="20"/>
    </w:rPr>
  </w:style>
  <w:style w:type="paragraph" w:customStyle="1" w:styleId="400">
    <w:name w:val="Char Char Char Char1"/>
    <w:basedOn w:val="1"/>
    <w:autoRedefine/>
    <w:qFormat/>
    <w:uiPriority w:val="0"/>
    <w:rPr>
      <w:szCs w:val="20"/>
    </w:rPr>
  </w:style>
  <w:style w:type="paragraph" w:customStyle="1" w:styleId="401">
    <w:name w:val="Char Char Char Char Char Char Char Char Char Char Char Char Char Char Char"/>
    <w:basedOn w:val="1"/>
    <w:autoRedefine/>
    <w:qFormat/>
    <w:uiPriority w:val="0"/>
    <w:pPr>
      <w:widowControl/>
      <w:spacing w:line="400" w:lineRule="exact"/>
      <w:jc w:val="center"/>
    </w:pPr>
    <w:rPr>
      <w:rFonts w:ascii="Verdana" w:hAnsi="Verdana"/>
      <w:kern w:val="0"/>
      <w:szCs w:val="20"/>
      <w:lang w:eastAsia="en-US"/>
    </w:rPr>
  </w:style>
  <w:style w:type="paragraph" w:customStyle="1" w:styleId="402">
    <w:name w:val="Heading 71"/>
    <w:basedOn w:val="1"/>
    <w:autoRedefine/>
    <w:qFormat/>
    <w:uiPriority w:val="0"/>
    <w:pPr>
      <w:jc w:val="left"/>
      <w:outlineLvl w:val="7"/>
    </w:pPr>
    <w:rPr>
      <w:rFonts w:ascii="宋体" w:hAnsi="宋体" w:cs="宋体"/>
      <w:kern w:val="0"/>
      <w:sz w:val="28"/>
      <w:szCs w:val="28"/>
      <w:lang w:eastAsia="en-US"/>
    </w:rPr>
  </w:style>
  <w:style w:type="paragraph" w:customStyle="1" w:styleId="403">
    <w:name w:val="Char Char Char1 Char Char Char Char Char Char Char"/>
    <w:basedOn w:val="1"/>
    <w:autoRedefine/>
    <w:qFormat/>
    <w:uiPriority w:val="0"/>
    <w:rPr>
      <w:rFonts w:ascii="Tahoma" w:hAnsi="Tahoma"/>
      <w:sz w:val="24"/>
      <w:szCs w:val="20"/>
    </w:rPr>
  </w:style>
  <w:style w:type="paragraph" w:customStyle="1" w:styleId="404">
    <w:name w:val="Char Char Char Char"/>
    <w:basedOn w:val="1"/>
    <w:next w:val="1"/>
    <w:autoRedefine/>
    <w:qFormat/>
    <w:uiPriority w:val="0"/>
    <w:pPr>
      <w:widowControl/>
      <w:spacing w:after="160" w:line="240" w:lineRule="exact"/>
      <w:jc w:val="left"/>
    </w:pPr>
  </w:style>
  <w:style w:type="paragraph" w:customStyle="1" w:styleId="405">
    <w:name w:val="五号正文（标准）"/>
    <w:basedOn w:val="1"/>
    <w:autoRedefine/>
    <w:qFormat/>
    <w:uiPriority w:val="0"/>
    <w:pPr>
      <w:spacing w:line="360" w:lineRule="auto"/>
      <w:ind w:firstLine="600" w:firstLineChars="200"/>
    </w:pPr>
    <w:rPr>
      <w:rFonts w:ascii="仿宋_GB2312" w:hAnsi="宋体" w:eastAsia="仿宋_GB2312"/>
      <w:b/>
      <w:sz w:val="30"/>
      <w:szCs w:val="20"/>
    </w:rPr>
  </w:style>
  <w:style w:type="paragraph" w:customStyle="1" w:styleId="406">
    <w:name w:val="列出段落11"/>
    <w:basedOn w:val="1"/>
    <w:autoRedefine/>
    <w:qFormat/>
    <w:uiPriority w:val="0"/>
    <w:pPr>
      <w:ind w:firstLine="420" w:firstLineChars="200"/>
    </w:pPr>
    <w:rPr>
      <w:rFonts w:ascii="Calibri" w:hAnsi="Calibri"/>
      <w:szCs w:val="20"/>
    </w:rPr>
  </w:style>
  <w:style w:type="paragraph" w:customStyle="1" w:styleId="407">
    <w:name w:val="xl163"/>
    <w:basedOn w:val="1"/>
    <w:autoRedefine/>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408">
    <w:name w:val="Char Char Char Char Char Char Char Char Char Char Char Char Char Char Char Char Char Char Char"/>
    <w:basedOn w:val="1"/>
    <w:autoRedefine/>
    <w:qFormat/>
    <w:uiPriority w:val="0"/>
    <w:pPr>
      <w:widowControl/>
      <w:spacing w:line="400" w:lineRule="exact"/>
      <w:jc w:val="center"/>
    </w:pPr>
    <w:rPr>
      <w:rFonts w:ascii="Verdana" w:hAnsi="Verdana"/>
      <w:kern w:val="0"/>
      <w:szCs w:val="20"/>
      <w:lang w:eastAsia="en-US"/>
    </w:rPr>
  </w:style>
  <w:style w:type="paragraph" w:customStyle="1" w:styleId="409">
    <w:name w:val="TOC 标题_0"/>
    <w:basedOn w:val="373"/>
    <w:next w:val="374"/>
    <w:autoRedefine/>
    <w:qFormat/>
    <w:uiPriority w:val="0"/>
    <w:pPr>
      <w:outlineLvl w:val="9"/>
    </w:pPr>
    <w:rPr>
      <w:rFonts w:ascii="Calibri" w:hAnsi="Calibri"/>
    </w:rPr>
  </w:style>
  <w:style w:type="paragraph" w:customStyle="1" w:styleId="410">
    <w:name w:val="百姓X"/>
    <w:basedOn w:val="1"/>
    <w:autoRedefine/>
    <w:qFormat/>
    <w:uiPriority w:val="0"/>
    <w:pPr>
      <w:spacing w:before="120" w:after="120" w:line="360" w:lineRule="auto"/>
      <w:ind w:firstLine="540"/>
    </w:pPr>
    <w:rPr>
      <w:rFonts w:ascii="Arial Narrow" w:hAnsi="Arial Narrow"/>
      <w:sz w:val="24"/>
    </w:rPr>
  </w:style>
  <w:style w:type="paragraph" w:customStyle="1" w:styleId="411">
    <w:name w:val="font12"/>
    <w:basedOn w:val="1"/>
    <w:autoRedefine/>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412">
    <w:name w:val="列表1）"/>
    <w:basedOn w:val="11"/>
    <w:autoRedefine/>
    <w:qFormat/>
    <w:uiPriority w:val="0"/>
    <w:pPr>
      <w:spacing w:before="10"/>
      <w:ind w:firstLine="0"/>
    </w:pPr>
    <w:rPr>
      <w:rFonts w:ascii="Verdana" w:hAnsi="Verdana"/>
      <w:b w:val="0"/>
      <w:sz w:val="21"/>
      <w:szCs w:val="21"/>
    </w:rPr>
  </w:style>
  <w:style w:type="paragraph" w:customStyle="1" w:styleId="413">
    <w:name w:val="xl13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14">
    <w:name w:val="标题 3_0"/>
    <w:basedOn w:val="374"/>
    <w:next w:val="374"/>
    <w:autoRedefine/>
    <w:qFormat/>
    <w:uiPriority w:val="0"/>
    <w:pPr>
      <w:keepNext/>
      <w:keepLines/>
      <w:spacing w:before="260" w:after="260" w:line="413" w:lineRule="auto"/>
      <w:outlineLvl w:val="2"/>
    </w:pPr>
    <w:rPr>
      <w:rFonts w:ascii="Times New Roman" w:hAnsi="Times New Roman"/>
      <w:b/>
      <w:bCs/>
      <w:sz w:val="32"/>
      <w:szCs w:val="32"/>
    </w:rPr>
  </w:style>
  <w:style w:type="paragraph" w:customStyle="1" w:styleId="415">
    <w:name w:val="Char Char1 Char Char Char1"/>
    <w:basedOn w:val="16"/>
    <w:autoRedefine/>
    <w:qFormat/>
    <w:uiPriority w:val="0"/>
    <w:rPr>
      <w:rFonts w:ascii="Calibri" w:hAnsi="Calibri"/>
      <w:sz w:val="21"/>
      <w:szCs w:val="24"/>
    </w:rPr>
  </w:style>
  <w:style w:type="paragraph" w:customStyle="1" w:styleId="416">
    <w:name w:val="Default"/>
    <w:autoRedefine/>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customStyle="1" w:styleId="417">
    <w:name w:val="标题 4_0"/>
    <w:basedOn w:val="374"/>
    <w:next w:val="374"/>
    <w:autoRedefine/>
    <w:qFormat/>
    <w:uiPriority w:val="0"/>
    <w:pPr>
      <w:keepNext/>
      <w:keepLines/>
      <w:spacing w:before="280" w:after="290" w:line="372" w:lineRule="auto"/>
      <w:outlineLvl w:val="3"/>
    </w:pPr>
    <w:rPr>
      <w:rFonts w:ascii="Cambria" w:hAnsi="Cambria"/>
      <w:b/>
      <w:bCs/>
      <w:sz w:val="28"/>
      <w:szCs w:val="28"/>
    </w:rPr>
  </w:style>
  <w:style w:type="paragraph" w:customStyle="1" w:styleId="418">
    <w:name w:val="样式5"/>
    <w:basedOn w:val="139"/>
    <w:autoRedefine/>
    <w:qFormat/>
    <w:uiPriority w:val="0"/>
    <w:pPr>
      <w:spacing w:before="340" w:after="330" w:line="360" w:lineRule="auto"/>
      <w:ind w:firstLine="0" w:firstLineChars="0"/>
      <w:jc w:val="center"/>
      <w:outlineLvl w:val="0"/>
    </w:pPr>
    <w:rPr>
      <w:rFonts w:hAnsi="Times New Roman" w:eastAsia="黑体"/>
      <w:b/>
      <w:bCs/>
      <w:kern w:val="44"/>
      <w:sz w:val="36"/>
      <w:szCs w:val="44"/>
    </w:rPr>
  </w:style>
  <w:style w:type="paragraph" w:customStyle="1" w:styleId="419">
    <w:name w:val="纯文本3"/>
    <w:basedOn w:val="1"/>
    <w:autoRedefine/>
    <w:qFormat/>
    <w:uiPriority w:val="0"/>
    <w:rPr>
      <w:rFonts w:ascii="宋体" w:hAnsi="Courier New"/>
      <w:sz w:val="28"/>
    </w:rPr>
  </w:style>
  <w:style w:type="paragraph" w:customStyle="1" w:styleId="420">
    <w:name w:val="Char Char Char Char Char Char Char Char Char Char1"/>
    <w:basedOn w:val="1"/>
    <w:autoRedefine/>
    <w:qFormat/>
    <w:uiPriority w:val="0"/>
    <w:pPr>
      <w:widowControl/>
      <w:spacing w:line="400" w:lineRule="exact"/>
      <w:jc w:val="center"/>
    </w:pPr>
    <w:rPr>
      <w:rFonts w:ascii="Verdana" w:hAnsi="Verdana"/>
      <w:kern w:val="0"/>
      <w:szCs w:val="20"/>
      <w:lang w:eastAsia="en-US"/>
    </w:rPr>
  </w:style>
  <w:style w:type="paragraph" w:customStyle="1" w:styleId="421">
    <w:name w:val="样式 (中文) 黑体 小三 加粗 居中 行距: 1.5 倍行距"/>
    <w:basedOn w:val="1"/>
    <w:next w:val="1"/>
    <w:autoRedefine/>
    <w:qFormat/>
    <w:uiPriority w:val="0"/>
    <w:pPr>
      <w:spacing w:line="360" w:lineRule="auto"/>
      <w:jc w:val="center"/>
    </w:pPr>
    <w:rPr>
      <w:rFonts w:eastAsia="黑体" w:cs="宋体"/>
      <w:b/>
      <w:bCs/>
      <w:sz w:val="30"/>
      <w:szCs w:val="20"/>
    </w:rPr>
  </w:style>
  <w:style w:type="paragraph" w:customStyle="1" w:styleId="422">
    <w:name w:val="样式 (中文) 黑体 小三 黑色"/>
    <w:basedOn w:val="5"/>
    <w:autoRedefine/>
    <w:qFormat/>
    <w:uiPriority w:val="0"/>
    <w:pPr>
      <w:spacing w:line="240" w:lineRule="auto"/>
      <w:jc w:val="center"/>
    </w:pPr>
    <w:rPr>
      <w:bCs/>
      <w:color w:val="000000"/>
      <w:sz w:val="30"/>
      <w:szCs w:val="32"/>
    </w:rPr>
  </w:style>
  <w:style w:type="paragraph" w:customStyle="1" w:styleId="423">
    <w:name w:val="样式6"/>
    <w:basedOn w:val="34"/>
    <w:next w:val="1"/>
    <w:autoRedefine/>
    <w:qFormat/>
    <w:uiPriority w:val="0"/>
    <w:pPr>
      <w:tabs>
        <w:tab w:val="right" w:leader="dot" w:pos="9200"/>
      </w:tabs>
    </w:pPr>
    <w:rPr>
      <w:rFonts w:eastAsia="仿宋_GB2312"/>
      <w:sz w:val="28"/>
      <w:szCs w:val="21"/>
    </w:rPr>
  </w:style>
  <w:style w:type="paragraph" w:customStyle="1" w:styleId="424">
    <w:name w:val="xl133"/>
    <w:basedOn w:val="1"/>
    <w:autoRedefine/>
    <w:qFormat/>
    <w:uiPriority w:val="0"/>
    <w:pPr>
      <w:widowControl/>
      <w:shd w:val="clear" w:color="000000" w:fill="C0C0C0"/>
      <w:spacing w:before="100" w:beforeAutospacing="1" w:after="100" w:afterAutospacing="1"/>
      <w:jc w:val="left"/>
    </w:pPr>
    <w:rPr>
      <w:rFonts w:ascii="宋体" w:hAnsi="宋体" w:cs="宋体"/>
      <w:kern w:val="0"/>
      <w:sz w:val="20"/>
      <w:szCs w:val="20"/>
    </w:rPr>
  </w:style>
  <w:style w:type="paragraph" w:customStyle="1" w:styleId="425">
    <w:name w:val="xl159"/>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426">
    <w:name w:val="xl15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27">
    <w:name w:val="Char Char Char Char Char Char Char Char Char Char Char Char Char Char Char1"/>
    <w:basedOn w:val="1"/>
    <w:autoRedefine/>
    <w:qFormat/>
    <w:uiPriority w:val="0"/>
    <w:pPr>
      <w:widowControl/>
      <w:spacing w:line="400" w:lineRule="exact"/>
      <w:jc w:val="center"/>
    </w:pPr>
    <w:rPr>
      <w:rFonts w:ascii="Verdana" w:hAnsi="Verdana"/>
      <w:kern w:val="0"/>
      <w:szCs w:val="20"/>
      <w:lang w:eastAsia="en-US"/>
    </w:rPr>
  </w:style>
  <w:style w:type="paragraph" w:customStyle="1" w:styleId="428">
    <w:name w:val="_Style 283"/>
    <w:next w:val="1"/>
    <w:autoRedefine/>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29">
    <w:name w:val="Char Char Char Char Char Char Char1"/>
    <w:basedOn w:val="1"/>
    <w:autoRedefine/>
    <w:qFormat/>
    <w:uiPriority w:val="0"/>
    <w:pPr>
      <w:widowControl/>
      <w:spacing w:line="400" w:lineRule="exact"/>
      <w:jc w:val="center"/>
    </w:pPr>
    <w:rPr>
      <w:rFonts w:ascii="Verdana" w:hAnsi="Verdana"/>
      <w:kern w:val="0"/>
      <w:szCs w:val="20"/>
      <w:lang w:eastAsia="en-US"/>
    </w:rPr>
  </w:style>
  <w:style w:type="paragraph" w:customStyle="1" w:styleId="430">
    <w:name w:val="paragraphinden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31">
    <w:name w:val="xl144"/>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 w:val="20"/>
      <w:szCs w:val="20"/>
    </w:rPr>
  </w:style>
  <w:style w:type="paragraph" w:customStyle="1" w:styleId="432">
    <w:name w:val="reader-word-layer reader-word-s1-1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33">
    <w:name w:val="重点说明"/>
    <w:basedOn w:val="1"/>
    <w:autoRedefine/>
    <w:qFormat/>
    <w:uiPriority w:val="0"/>
    <w:pPr>
      <w:widowControl/>
      <w:spacing w:before="40" w:after="40" w:line="400" w:lineRule="exact"/>
      <w:ind w:left="360" w:hanging="360"/>
    </w:pPr>
    <w:rPr>
      <w:rFonts w:ascii="宋体"/>
      <w:b/>
      <w:spacing w:val="6"/>
      <w:sz w:val="28"/>
      <w:szCs w:val="20"/>
    </w:rPr>
  </w:style>
  <w:style w:type="paragraph" w:customStyle="1" w:styleId="434">
    <w:name w:val="Address"/>
    <w:basedOn w:val="1"/>
    <w:next w:val="1"/>
    <w:autoRedefine/>
    <w:qFormat/>
    <w:uiPriority w:val="0"/>
    <w:pPr>
      <w:autoSpaceDE w:val="0"/>
      <w:autoSpaceDN w:val="0"/>
      <w:adjustRightInd w:val="0"/>
      <w:jc w:val="left"/>
    </w:pPr>
    <w:rPr>
      <w:i/>
      <w:kern w:val="0"/>
      <w:sz w:val="24"/>
      <w:szCs w:val="20"/>
    </w:rPr>
  </w:style>
  <w:style w:type="paragraph" w:customStyle="1" w:styleId="435">
    <w:name w:val="Char Char Char1 Char Char Char Char Char Char Char1"/>
    <w:basedOn w:val="1"/>
    <w:autoRedefine/>
    <w:qFormat/>
    <w:uiPriority w:val="0"/>
    <w:rPr>
      <w:rFonts w:ascii="Tahoma" w:hAnsi="Tahoma"/>
      <w:sz w:val="24"/>
      <w:szCs w:val="20"/>
    </w:rPr>
  </w:style>
  <w:style w:type="paragraph" w:customStyle="1" w:styleId="436">
    <w:name w:val="样式 (中文) 黑体 小二 加粗 居中 行距: 1.5 倍行距"/>
    <w:basedOn w:val="4"/>
    <w:autoRedefine/>
    <w:qFormat/>
    <w:uiPriority w:val="0"/>
    <w:pPr>
      <w:spacing w:line="240" w:lineRule="auto"/>
    </w:pPr>
    <w:rPr>
      <w:rFonts w:eastAsia="黑体" w:cs="宋体"/>
      <w:b w:val="0"/>
      <w:spacing w:val="60"/>
      <w:sz w:val="36"/>
    </w:rPr>
  </w:style>
  <w:style w:type="paragraph" w:customStyle="1" w:styleId="437">
    <w:name w:val="标题 3 + 宋体 小四号 黑色"/>
    <w:basedOn w:val="6"/>
    <w:autoRedefine/>
    <w:qFormat/>
    <w:uiPriority w:val="0"/>
    <w:pPr>
      <w:widowControl/>
      <w:spacing w:before="0" w:after="0" w:line="360" w:lineRule="auto"/>
      <w:ind w:firstLine="0" w:firstLineChars="0"/>
      <w:jc w:val="left"/>
    </w:pPr>
    <w:rPr>
      <w:rFonts w:ascii="宋体" w:hAnsi="宋体"/>
      <w:bCs/>
      <w:kern w:val="0"/>
      <w:sz w:val="28"/>
      <w:szCs w:val="28"/>
    </w:rPr>
  </w:style>
  <w:style w:type="paragraph" w:customStyle="1" w:styleId="438">
    <w:name w:val="正文文本_0"/>
    <w:basedOn w:val="374"/>
    <w:autoRedefine/>
    <w:qFormat/>
    <w:uiPriority w:val="0"/>
    <w:pPr>
      <w:adjustRightInd w:val="0"/>
      <w:spacing w:after="60" w:line="360" w:lineRule="atLeast"/>
      <w:ind w:left="72" w:leftChars="30" w:right="30" w:rightChars="30"/>
      <w:jc w:val="center"/>
      <w:textAlignment w:val="baseline"/>
    </w:pPr>
    <w:rPr>
      <w:rFonts w:ascii="Times New Roman" w:hAnsi="Times New Roman"/>
      <w:kern w:val="0"/>
      <w:sz w:val="20"/>
      <w:szCs w:val="20"/>
    </w:rPr>
  </w:style>
  <w:style w:type="paragraph" w:customStyle="1" w:styleId="439">
    <w:name w:val="xl15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18"/>
      <w:szCs w:val="18"/>
    </w:rPr>
  </w:style>
  <w:style w:type="paragraph" w:customStyle="1" w:styleId="440">
    <w:name w:val="Char Char Char Char Char Char Char Char Char Char"/>
    <w:basedOn w:val="1"/>
    <w:autoRedefine/>
    <w:qFormat/>
    <w:uiPriority w:val="0"/>
    <w:pPr>
      <w:widowControl/>
      <w:spacing w:line="400" w:lineRule="exact"/>
      <w:jc w:val="center"/>
    </w:pPr>
    <w:rPr>
      <w:rFonts w:ascii="Verdana" w:hAnsi="Verdana"/>
      <w:kern w:val="0"/>
      <w:szCs w:val="20"/>
      <w:lang w:eastAsia="en-US"/>
    </w:rPr>
  </w:style>
  <w:style w:type="paragraph" w:customStyle="1" w:styleId="441">
    <w:name w:val="font11"/>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442">
    <w:name w:val="flNote"/>
    <w:basedOn w:val="1"/>
    <w:autoRedefine/>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443">
    <w:name w:val="font7"/>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444">
    <w:name w:val="副标题1"/>
    <w:basedOn w:val="1"/>
    <w:next w:val="1"/>
    <w:autoRedefine/>
    <w:qFormat/>
    <w:uiPriority w:val="0"/>
    <w:pPr>
      <w:spacing w:before="120" w:after="120"/>
      <w:jc w:val="left"/>
    </w:pPr>
    <w:rPr>
      <w:rFonts w:ascii="Arial" w:hAnsi="Arial"/>
      <w:b/>
      <w:bCs/>
      <w:color w:val="000000"/>
      <w:kern w:val="44"/>
      <w:sz w:val="20"/>
      <w:szCs w:val="20"/>
    </w:rPr>
  </w:style>
  <w:style w:type="paragraph" w:styleId="445">
    <w:name w:val="Quote"/>
    <w:basedOn w:val="1"/>
    <w:next w:val="1"/>
    <w:autoRedefine/>
    <w:qFormat/>
    <w:uiPriority w:val="99"/>
    <w:rPr>
      <w:rFonts w:ascii="Calibri" w:hAnsi="Calibri"/>
      <w:i/>
      <w:iCs/>
      <w:color w:val="000000"/>
      <w:szCs w:val="22"/>
    </w:rPr>
  </w:style>
  <w:style w:type="character" w:customStyle="1" w:styleId="446">
    <w:name w:val="引用 Char4"/>
    <w:autoRedefine/>
    <w:qFormat/>
    <w:uiPriority w:val="29"/>
    <w:rPr>
      <w:i/>
      <w:iCs/>
      <w:color w:val="000000"/>
      <w:kern w:val="2"/>
      <w:sz w:val="21"/>
      <w:szCs w:val="24"/>
    </w:rPr>
  </w:style>
  <w:style w:type="paragraph" w:customStyle="1" w:styleId="447">
    <w:name w:val="默认段落字体 Para Char Char Char Char Char Char Char Char Char Char"/>
    <w:basedOn w:val="1"/>
    <w:autoRedefine/>
    <w:qFormat/>
    <w:uiPriority w:val="0"/>
    <w:rPr>
      <w:rFonts w:hint="eastAsia" w:ascii="Tahoma" w:hAnsi="Tahoma"/>
      <w:sz w:val="24"/>
      <w:szCs w:val="20"/>
    </w:rPr>
  </w:style>
  <w:style w:type="paragraph" w:customStyle="1" w:styleId="448">
    <w:name w:val="xl1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9">
    <w:name w:val="样式 样式1 + 首行缩进:  2 字符"/>
    <w:basedOn w:val="1"/>
    <w:autoRedefine/>
    <w:qFormat/>
    <w:uiPriority w:val="0"/>
    <w:pPr>
      <w:spacing w:line="360" w:lineRule="exact"/>
      <w:ind w:firstLine="420" w:firstLineChars="200"/>
    </w:pPr>
    <w:rPr>
      <w:rFonts w:ascii="Arial" w:hAnsi="Arial" w:cs="宋体"/>
      <w:szCs w:val="20"/>
    </w:rPr>
  </w:style>
  <w:style w:type="paragraph" w:customStyle="1" w:styleId="450">
    <w:name w:val="flType"/>
    <w:basedOn w:val="1"/>
    <w:autoRedefine/>
    <w:qFormat/>
    <w:uiPriority w:val="0"/>
    <w:pPr>
      <w:adjustRightInd w:val="0"/>
      <w:spacing w:after="284" w:line="113" w:lineRule="atLeast"/>
      <w:jc w:val="center"/>
    </w:pPr>
    <w:rPr>
      <w:kern w:val="0"/>
      <w:sz w:val="24"/>
      <w:szCs w:val="20"/>
    </w:rPr>
  </w:style>
  <w:style w:type="paragraph" w:customStyle="1" w:styleId="451">
    <w:name w:val="Char Char1 Char Char Char"/>
    <w:basedOn w:val="16"/>
    <w:autoRedefine/>
    <w:qFormat/>
    <w:uiPriority w:val="0"/>
    <w:rPr>
      <w:rFonts w:ascii="Calibri" w:hAnsi="Calibri"/>
      <w:sz w:val="21"/>
      <w:szCs w:val="24"/>
    </w:rPr>
  </w:style>
  <w:style w:type="paragraph" w:customStyle="1" w:styleId="452">
    <w:name w:val="xl14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character" w:customStyle="1" w:styleId="453">
    <w:name w:val="明显引用 Char4"/>
    <w:autoRedefine/>
    <w:qFormat/>
    <w:uiPriority w:val="30"/>
    <w:rPr>
      <w:rFonts w:ascii="Times New Roman" w:hAnsi="Times New Roman" w:eastAsia="宋体" w:cs="Times New Roman"/>
      <w:b/>
      <w:bCs/>
      <w:i/>
      <w:iCs/>
      <w:color w:val="4F81BD"/>
      <w:szCs w:val="24"/>
    </w:rPr>
  </w:style>
  <w:style w:type="paragraph" w:customStyle="1" w:styleId="454">
    <w:name w:val="font13"/>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455">
    <w:name w:val="reader-word-layer reader-word-s1-1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56">
    <w:name w:val="newpage"/>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57">
    <w:name w:val="Char Char Char Char Char Char Char Char Char Char Char Char Char1"/>
    <w:basedOn w:val="1"/>
    <w:autoRedefine/>
    <w:qFormat/>
    <w:uiPriority w:val="0"/>
    <w:pPr>
      <w:tabs>
        <w:tab w:val="left" w:pos="420"/>
      </w:tabs>
      <w:ind w:left="420" w:hanging="420"/>
    </w:pPr>
    <w:rPr>
      <w:rFonts w:ascii="Tahoma" w:hAnsi="Tahoma"/>
      <w:sz w:val="24"/>
      <w:szCs w:val="20"/>
    </w:rPr>
  </w:style>
  <w:style w:type="paragraph" w:customStyle="1" w:styleId="458">
    <w:name w:val="xl138"/>
    <w:basedOn w:val="1"/>
    <w:autoRedefine/>
    <w:qFormat/>
    <w:uiPriority w:val="0"/>
    <w:pPr>
      <w:widowControl/>
      <w:spacing w:before="100" w:beforeAutospacing="1" w:after="100" w:afterAutospacing="1"/>
      <w:jc w:val="center"/>
    </w:pPr>
    <w:rPr>
      <w:rFonts w:ascii="宋体" w:hAnsi="宋体" w:cs="宋体"/>
      <w:kern w:val="0"/>
      <w:sz w:val="24"/>
    </w:rPr>
  </w:style>
  <w:style w:type="paragraph" w:customStyle="1" w:styleId="459">
    <w:name w:val="xl140"/>
    <w:basedOn w:val="1"/>
    <w:autoRedefine/>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60">
    <w:name w:val="Char Char Char Char Char Char Char"/>
    <w:basedOn w:val="1"/>
    <w:autoRedefine/>
    <w:qFormat/>
    <w:uiPriority w:val="0"/>
    <w:pPr>
      <w:widowControl/>
      <w:spacing w:after="160" w:line="240" w:lineRule="exact"/>
      <w:jc w:val="left"/>
    </w:pPr>
  </w:style>
  <w:style w:type="paragraph" w:customStyle="1" w:styleId="461">
    <w:name w:val="正文缩进_0"/>
    <w:basedOn w:val="462"/>
    <w:autoRedefine/>
    <w:qFormat/>
    <w:uiPriority w:val="0"/>
    <w:pPr>
      <w:widowControl w:val="0"/>
      <w:ind w:firstLine="420"/>
      <w:jc w:val="both"/>
    </w:pPr>
    <w:rPr>
      <w:kern w:val="2"/>
      <w:u w:val="single"/>
    </w:rPr>
  </w:style>
  <w:style w:type="paragraph" w:customStyle="1" w:styleId="462">
    <w:name w:val="正文_1"/>
    <w:autoRedefine/>
    <w:qFormat/>
    <w:uiPriority w:val="0"/>
    <w:rPr>
      <w:rFonts w:ascii="Times New Roman" w:hAnsi="Times New Roman" w:eastAsia="宋体" w:cs="Times New Roman"/>
      <w:sz w:val="21"/>
      <w:szCs w:val="22"/>
      <w:lang w:val="en-US" w:eastAsia="zh-CN" w:bidi="ar-SA"/>
    </w:rPr>
  </w:style>
  <w:style w:type="paragraph" w:customStyle="1" w:styleId="463">
    <w:name w:val="List Paragraph1"/>
    <w:basedOn w:val="1"/>
    <w:autoRedefine/>
    <w:qFormat/>
    <w:uiPriority w:val="0"/>
    <w:pPr>
      <w:ind w:firstLine="420" w:firstLineChars="200"/>
    </w:pPr>
    <w:rPr>
      <w:rFonts w:ascii="Calibri" w:hAnsi="Calibri"/>
      <w:szCs w:val="22"/>
    </w:rPr>
  </w:style>
  <w:style w:type="paragraph" w:customStyle="1" w:styleId="464">
    <w:name w:val="无编号正文"/>
    <w:basedOn w:val="1"/>
    <w:next w:val="1"/>
    <w:autoRedefine/>
    <w:qFormat/>
    <w:uiPriority w:val="0"/>
    <w:pPr>
      <w:ind w:left="200" w:leftChars="200" w:firstLine="200" w:firstLineChars="200"/>
    </w:pPr>
    <w:rPr>
      <w:rFonts w:ascii="宋体" w:hAnsi="宋体"/>
    </w:rPr>
  </w:style>
  <w:style w:type="paragraph" w:customStyle="1" w:styleId="465">
    <w:name w:val="xl1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hAnsi="华文中宋" w:eastAsia="华文中宋" w:cs="宋体"/>
      <w:kern w:val="0"/>
      <w:sz w:val="24"/>
    </w:rPr>
  </w:style>
  <w:style w:type="paragraph" w:customStyle="1" w:styleId="466">
    <w:name w:val="xl15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67">
    <w:name w:val="正文段"/>
    <w:basedOn w:val="1"/>
    <w:autoRedefine/>
    <w:qFormat/>
    <w:uiPriority w:val="0"/>
    <w:pPr>
      <w:adjustRightInd w:val="0"/>
      <w:spacing w:after="240" w:line="312" w:lineRule="atLeast"/>
      <w:ind w:firstLine="425"/>
      <w:textAlignment w:val="baseline"/>
    </w:pPr>
    <w:rPr>
      <w:sz w:val="24"/>
    </w:rPr>
  </w:style>
  <w:style w:type="paragraph" w:customStyle="1" w:styleId="468">
    <w:name w:val="xl135"/>
    <w:basedOn w:val="1"/>
    <w:autoRedefine/>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69">
    <w:name w:val="xl131"/>
    <w:basedOn w:val="1"/>
    <w:autoRedefine/>
    <w:qFormat/>
    <w:uiPriority w:val="0"/>
    <w:pPr>
      <w:widowControl/>
      <w:pBdr>
        <w:bottom w:val="single" w:color="auto" w:sz="12" w:space="0"/>
      </w:pBdr>
      <w:spacing w:before="100" w:beforeAutospacing="1" w:after="100" w:afterAutospacing="1"/>
      <w:jc w:val="left"/>
    </w:pPr>
    <w:rPr>
      <w:rFonts w:ascii="宋体" w:hAnsi="宋体" w:cs="宋体"/>
      <w:kern w:val="0"/>
      <w:sz w:val="24"/>
    </w:rPr>
  </w:style>
  <w:style w:type="paragraph" w:customStyle="1" w:styleId="470">
    <w:name w:val="reader-word-layer reader-word-s1-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71">
    <w:name w:val="(1)"/>
    <w:basedOn w:val="1"/>
    <w:autoRedefine/>
    <w:qFormat/>
    <w:uiPriority w:val="0"/>
    <w:pPr>
      <w:tabs>
        <w:tab w:val="left" w:pos="1134"/>
        <w:tab w:val="left" w:pos="1647"/>
      </w:tabs>
    </w:pPr>
    <w:rPr>
      <w:rFonts w:ascii="宋体" w:hAnsi="宋体"/>
      <w:sz w:val="24"/>
    </w:rPr>
  </w:style>
  <w:style w:type="paragraph" w:customStyle="1" w:styleId="472">
    <w:name w:val="样式 首行缩进:  2 字符"/>
    <w:basedOn w:val="1"/>
    <w:autoRedefine/>
    <w:qFormat/>
    <w:uiPriority w:val="0"/>
    <w:pPr>
      <w:spacing w:line="360" w:lineRule="auto"/>
      <w:ind w:firstLine="480" w:firstLineChars="200"/>
    </w:pPr>
    <w:rPr>
      <w:rFonts w:ascii="Arial" w:hAnsi="Arial"/>
      <w:sz w:val="24"/>
      <w:szCs w:val="20"/>
    </w:rPr>
  </w:style>
  <w:style w:type="paragraph" w:customStyle="1" w:styleId="473">
    <w:name w:val="Paragraph P1&amp;2"/>
    <w:basedOn w:val="1"/>
    <w:autoRedefine/>
    <w:qFormat/>
    <w:uiPriority w:val="0"/>
    <w:pPr>
      <w:widowControl/>
      <w:numPr>
        <w:ilvl w:val="0"/>
        <w:numId w:val="2"/>
      </w:numPr>
      <w:tabs>
        <w:tab w:val="left" w:pos="420"/>
      </w:tabs>
      <w:spacing w:before="40" w:after="60" w:line="360" w:lineRule="auto"/>
      <w:jc w:val="left"/>
    </w:pPr>
    <w:rPr>
      <w:rFonts w:ascii="宋体" w:hAnsi="宋体"/>
      <w:color w:val="FF0000"/>
      <w:sz w:val="24"/>
    </w:rPr>
  </w:style>
  <w:style w:type="paragraph" w:customStyle="1" w:styleId="474">
    <w:name w:val="xl14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75">
    <w:name w:val="Char Char Char Char Char Char Char Char Char Char Char Char Char"/>
    <w:basedOn w:val="1"/>
    <w:autoRedefine/>
    <w:qFormat/>
    <w:uiPriority w:val="0"/>
    <w:pPr>
      <w:tabs>
        <w:tab w:val="left" w:pos="420"/>
      </w:tabs>
      <w:ind w:left="420" w:hanging="420"/>
    </w:pPr>
    <w:rPr>
      <w:rFonts w:ascii="Tahoma" w:hAnsi="Tahoma"/>
      <w:sz w:val="24"/>
      <w:szCs w:val="20"/>
    </w:rPr>
  </w:style>
  <w:style w:type="paragraph" w:customStyle="1" w:styleId="476">
    <w:name w:val="p0"/>
    <w:basedOn w:val="1"/>
    <w:autoRedefine/>
    <w:qFormat/>
    <w:uiPriority w:val="0"/>
    <w:pPr>
      <w:widowControl/>
    </w:pPr>
    <w:rPr>
      <w:rFonts w:ascii="Calibri" w:hAnsi="Calibri" w:cs="宋体"/>
      <w:kern w:val="0"/>
      <w:szCs w:val="21"/>
    </w:rPr>
  </w:style>
  <w:style w:type="paragraph" w:customStyle="1" w:styleId="477">
    <w:name w:val="xl15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478">
    <w:name w:val="xl146"/>
    <w:basedOn w:val="1"/>
    <w:autoRedefine/>
    <w:qFormat/>
    <w:uiPriority w:val="0"/>
    <w:pPr>
      <w:widowControl/>
      <w:spacing w:before="100" w:beforeAutospacing="1" w:after="100" w:afterAutospacing="1"/>
      <w:jc w:val="left"/>
      <w:textAlignment w:val="bottom"/>
    </w:pPr>
    <w:rPr>
      <w:rFonts w:ascii="宋体" w:hAnsi="宋体" w:cs="宋体"/>
      <w:kern w:val="0"/>
      <w:sz w:val="24"/>
    </w:rPr>
  </w:style>
  <w:style w:type="paragraph" w:customStyle="1" w:styleId="479">
    <w:name w:val="Char Char Char Char Char Char Char12"/>
    <w:basedOn w:val="1"/>
    <w:autoRedefine/>
    <w:qFormat/>
    <w:uiPriority w:val="0"/>
    <w:pPr>
      <w:widowControl/>
      <w:spacing w:line="400" w:lineRule="exact"/>
      <w:jc w:val="center"/>
    </w:pPr>
    <w:rPr>
      <w:rFonts w:ascii="Verdana" w:hAnsi="Verdana"/>
      <w:kern w:val="0"/>
      <w:szCs w:val="20"/>
      <w:lang w:eastAsia="en-US"/>
    </w:rPr>
  </w:style>
  <w:style w:type="paragraph" w:customStyle="1" w:styleId="480">
    <w:name w:val="xl14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481">
    <w:name w:val="xl15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482">
    <w:name w:val="xl145"/>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83">
    <w:name w:val="xl141"/>
    <w:basedOn w:val="1"/>
    <w:autoRedefine/>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484">
    <w:name w:val="xl165"/>
    <w:basedOn w:val="1"/>
    <w:autoRedefine/>
    <w:qFormat/>
    <w:uiPriority w:val="0"/>
    <w:pPr>
      <w:widowControl/>
      <w:pBdr>
        <w:bottom w:val="single" w:color="auto" w:sz="4" w:space="0"/>
      </w:pBdr>
      <w:spacing w:before="100" w:beforeAutospacing="1" w:after="100" w:afterAutospacing="1"/>
      <w:jc w:val="left"/>
    </w:pPr>
    <w:rPr>
      <w:rFonts w:ascii="宋体" w:hAnsi="宋体" w:cs="宋体"/>
      <w:kern w:val="0"/>
      <w:sz w:val="18"/>
      <w:szCs w:val="18"/>
    </w:rPr>
  </w:style>
  <w:style w:type="paragraph" w:customStyle="1" w:styleId="485">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86">
    <w:name w:val="Char Char Char1 Char1"/>
    <w:basedOn w:val="5"/>
    <w:next w:val="1"/>
    <w:autoRedefine/>
    <w:qFormat/>
    <w:uiPriority w:val="0"/>
    <w:pPr>
      <w:snapToGrid w:val="0"/>
      <w:spacing w:before="120" w:after="120" w:line="240" w:lineRule="auto"/>
      <w:jc w:val="left"/>
    </w:pPr>
    <w:rPr>
      <w:bCs/>
      <w:szCs w:val="32"/>
    </w:rPr>
  </w:style>
  <w:style w:type="paragraph" w:customStyle="1" w:styleId="487">
    <w:name w:val="标准正文"/>
    <w:basedOn w:val="1"/>
    <w:autoRedefine/>
    <w:qFormat/>
    <w:uiPriority w:val="0"/>
    <w:pPr>
      <w:snapToGrid w:val="0"/>
      <w:spacing w:line="312" w:lineRule="auto"/>
      <w:ind w:firstLine="482"/>
    </w:pPr>
    <w:rPr>
      <w:sz w:val="24"/>
      <w:szCs w:val="20"/>
    </w:rPr>
  </w:style>
  <w:style w:type="paragraph" w:customStyle="1" w:styleId="488">
    <w:name w:val="xl1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kern w:val="0"/>
      <w:sz w:val="20"/>
      <w:szCs w:val="20"/>
    </w:rPr>
  </w:style>
  <w:style w:type="paragraph" w:customStyle="1" w:styleId="489">
    <w:name w:val="font14"/>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490">
    <w:name w:val="xl1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91">
    <w:name w:val="Char Char Char Char Char Char Char Char Char Char Char Char Char Char Char Char Char Char Char1"/>
    <w:basedOn w:val="1"/>
    <w:autoRedefine/>
    <w:qFormat/>
    <w:uiPriority w:val="0"/>
    <w:pPr>
      <w:widowControl/>
      <w:spacing w:line="400" w:lineRule="exact"/>
      <w:jc w:val="center"/>
    </w:pPr>
    <w:rPr>
      <w:rFonts w:ascii="Verdana" w:hAnsi="Verdana"/>
      <w:kern w:val="0"/>
      <w:szCs w:val="20"/>
      <w:lang w:eastAsia="en-US"/>
    </w:rPr>
  </w:style>
  <w:style w:type="paragraph" w:customStyle="1" w:styleId="492">
    <w:name w:val="文字"/>
    <w:basedOn w:val="1"/>
    <w:autoRedefine/>
    <w:qFormat/>
    <w:uiPriority w:val="0"/>
    <w:pPr>
      <w:tabs>
        <w:tab w:val="left" w:pos="8520"/>
      </w:tabs>
      <w:spacing w:line="312" w:lineRule="auto"/>
      <w:ind w:right="-210" w:firstLine="556"/>
    </w:pPr>
    <w:rPr>
      <w:rFonts w:ascii="楷体_GB2312" w:eastAsia="楷体_GB2312"/>
      <w:sz w:val="28"/>
      <w:szCs w:val="20"/>
    </w:rPr>
  </w:style>
  <w:style w:type="paragraph" w:customStyle="1" w:styleId="493">
    <w:name w:val="style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94">
    <w:name w:val="Char Char Char Char Char Char Char2"/>
    <w:basedOn w:val="1"/>
    <w:autoRedefine/>
    <w:qFormat/>
    <w:uiPriority w:val="0"/>
    <w:pPr>
      <w:widowControl/>
      <w:spacing w:after="160" w:line="240" w:lineRule="exact"/>
      <w:jc w:val="left"/>
    </w:pPr>
    <w:rPr>
      <w:szCs w:val="20"/>
    </w:rPr>
  </w:style>
  <w:style w:type="paragraph" w:customStyle="1" w:styleId="495">
    <w:name w:val="_Style 198"/>
    <w:basedOn w:val="1"/>
    <w:next w:val="187"/>
    <w:autoRedefine/>
    <w:qFormat/>
    <w:uiPriority w:val="99"/>
    <w:pPr>
      <w:ind w:firstLine="420" w:firstLineChars="200"/>
    </w:pPr>
    <w:rPr>
      <w:rFonts w:ascii="Calibri" w:hAnsi="Calibri"/>
      <w:szCs w:val="22"/>
    </w:rPr>
  </w:style>
  <w:style w:type="paragraph" w:customStyle="1" w:styleId="496">
    <w:name w:val="Char Char Char1 Char"/>
    <w:basedOn w:val="1"/>
    <w:autoRedefine/>
    <w:qFormat/>
    <w:uiPriority w:val="0"/>
    <w:rPr>
      <w:szCs w:val="20"/>
    </w:rPr>
  </w:style>
  <w:style w:type="paragraph" w:customStyle="1" w:styleId="497">
    <w:name w:val="xl13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0066CC"/>
      <w:spacing w:before="100" w:beforeAutospacing="1" w:after="100" w:afterAutospacing="1"/>
      <w:jc w:val="center"/>
    </w:pPr>
    <w:rPr>
      <w:rFonts w:ascii="宋体" w:hAnsi="宋体" w:cs="宋体"/>
      <w:kern w:val="0"/>
      <w:sz w:val="20"/>
      <w:szCs w:val="20"/>
    </w:rPr>
  </w:style>
  <w:style w:type="paragraph" w:customStyle="1" w:styleId="498">
    <w:name w:val="xl148"/>
    <w:basedOn w:val="1"/>
    <w:autoRedefine/>
    <w:qFormat/>
    <w:uiPriority w:val="0"/>
    <w:pPr>
      <w:widowControl/>
      <w:pBdr>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499">
    <w:name w:val="prodsubtitle"/>
    <w:basedOn w:val="1"/>
    <w:autoRedefine/>
    <w:qFormat/>
    <w:uiPriority w:val="0"/>
    <w:pPr>
      <w:widowControl/>
      <w:jc w:val="left"/>
    </w:pPr>
    <w:rPr>
      <w:rFonts w:ascii="宋体" w:hAnsi="宋体" w:cs="宋体"/>
      <w:kern w:val="0"/>
      <w:sz w:val="24"/>
    </w:rPr>
  </w:style>
  <w:style w:type="paragraph" w:customStyle="1" w:styleId="500">
    <w:name w:val="修订1"/>
    <w:autoRedefine/>
    <w:qFormat/>
    <w:uiPriority w:val="0"/>
    <w:rPr>
      <w:rFonts w:ascii="Times New Roman" w:hAnsi="Times New Roman" w:eastAsia="宋体" w:cs="Times New Roman"/>
      <w:kern w:val="2"/>
      <w:sz w:val="21"/>
      <w:szCs w:val="24"/>
      <w:lang w:val="en-US" w:eastAsia="zh-CN" w:bidi="ar-SA"/>
    </w:rPr>
  </w:style>
  <w:style w:type="paragraph" w:customStyle="1" w:styleId="501">
    <w:name w:val="默认段落字体 Para Char Char Char Char"/>
    <w:basedOn w:val="1"/>
    <w:autoRedefine/>
    <w:qFormat/>
    <w:uiPriority w:val="0"/>
  </w:style>
  <w:style w:type="paragraph" w:customStyle="1" w:styleId="502">
    <w:name w:val="31a（正文）章标题"/>
    <w:autoRedefine/>
    <w:qFormat/>
    <w:uiPriority w:val="0"/>
    <w:pPr>
      <w:adjustRightInd w:val="0"/>
      <w:snapToGrid w:val="0"/>
      <w:spacing w:beforeLines="50" w:afterLines="50"/>
      <w:ind w:firstLine="315" w:firstLineChars="150"/>
      <w:jc w:val="both"/>
      <w:outlineLvl w:val="0"/>
    </w:pPr>
    <w:rPr>
      <w:rFonts w:ascii="楷体_GB2312" w:hAnsi="仿宋_GB2312" w:eastAsia="宋体" w:cs="Times New Roman"/>
      <w:sz w:val="21"/>
      <w:lang w:val="en-US" w:eastAsia="zh-CN" w:bidi="ar-SA"/>
    </w:rPr>
  </w:style>
  <w:style w:type="paragraph" w:customStyle="1" w:styleId="503">
    <w:name w:val="xl15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left"/>
    </w:pPr>
    <w:rPr>
      <w:rFonts w:ascii="宋体" w:hAnsi="宋体" w:cs="宋体"/>
      <w:kern w:val="0"/>
      <w:sz w:val="20"/>
      <w:szCs w:val="20"/>
    </w:rPr>
  </w:style>
  <w:style w:type="paragraph" w:customStyle="1" w:styleId="504">
    <w:name w:val="空半行"/>
    <w:basedOn w:val="1"/>
    <w:autoRedefine/>
    <w:qFormat/>
    <w:uiPriority w:val="0"/>
    <w:pPr>
      <w:adjustRightInd w:val="0"/>
      <w:spacing w:line="120" w:lineRule="exact"/>
      <w:textAlignment w:val="baseline"/>
    </w:pPr>
    <w:rPr>
      <w:rFonts w:eastAsia="仿宋_GB2312"/>
      <w:color w:val="FFFFFF"/>
      <w:kern w:val="0"/>
      <w:sz w:val="30"/>
      <w:szCs w:val="20"/>
    </w:rPr>
  </w:style>
  <w:style w:type="paragraph" w:customStyle="1" w:styleId="505">
    <w:name w:val="默认段落字体 Para Char"/>
    <w:basedOn w:val="1"/>
    <w:autoRedefine/>
    <w:qFormat/>
    <w:uiPriority w:val="0"/>
  </w:style>
  <w:style w:type="paragraph" w:customStyle="1" w:styleId="506">
    <w:name w:val="_Style 37"/>
    <w:basedOn w:val="1"/>
    <w:next w:val="1"/>
    <w:autoRedefine/>
    <w:qFormat/>
    <w:uiPriority w:val="0"/>
  </w:style>
  <w:style w:type="paragraph" w:customStyle="1" w:styleId="507">
    <w:name w:val="Char Char41"/>
    <w:basedOn w:val="1"/>
    <w:autoRedefine/>
    <w:qFormat/>
    <w:uiPriority w:val="0"/>
    <w:rPr>
      <w:szCs w:val="20"/>
    </w:rPr>
  </w:style>
  <w:style w:type="paragraph" w:customStyle="1" w:styleId="508">
    <w:name w:val="Char Char Char1 Char2"/>
    <w:basedOn w:val="5"/>
    <w:next w:val="1"/>
    <w:autoRedefine/>
    <w:qFormat/>
    <w:uiPriority w:val="0"/>
    <w:pPr>
      <w:snapToGrid w:val="0"/>
      <w:spacing w:before="120" w:after="120" w:line="240" w:lineRule="auto"/>
      <w:jc w:val="left"/>
    </w:pPr>
    <w:rPr>
      <w:bCs/>
      <w:szCs w:val="32"/>
    </w:rPr>
  </w:style>
  <w:style w:type="paragraph" w:customStyle="1" w:styleId="509">
    <w:name w:val="xl14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510">
    <w:name w:val="Char11"/>
    <w:basedOn w:val="1"/>
    <w:autoRedefine/>
    <w:qFormat/>
    <w:uiPriority w:val="0"/>
    <w:rPr>
      <w:rFonts w:ascii="Tahoma" w:hAnsi="Tahoma"/>
      <w:sz w:val="24"/>
      <w:szCs w:val="20"/>
    </w:rPr>
  </w:style>
  <w:style w:type="paragraph" w:customStyle="1" w:styleId="511">
    <w:name w:val="样式 宋体 四号 加粗 黑色 行距: 1.5 倍行距"/>
    <w:basedOn w:val="1"/>
    <w:autoRedefine/>
    <w:qFormat/>
    <w:uiPriority w:val="0"/>
    <w:pPr>
      <w:spacing w:line="360" w:lineRule="auto"/>
      <w:ind w:firstLine="200" w:firstLineChars="200"/>
    </w:pPr>
    <w:rPr>
      <w:rFonts w:ascii="宋体" w:hAnsi="宋体" w:cs="宋体"/>
      <w:b/>
      <w:bCs/>
      <w:color w:val="000000"/>
      <w:sz w:val="28"/>
      <w:szCs w:val="20"/>
    </w:rPr>
  </w:style>
  <w:style w:type="paragraph" w:customStyle="1" w:styleId="512">
    <w:name w:val="font8"/>
    <w:basedOn w:val="1"/>
    <w:autoRedefine/>
    <w:qFormat/>
    <w:uiPriority w:val="0"/>
    <w:pPr>
      <w:widowControl/>
      <w:spacing w:before="100" w:beforeAutospacing="1" w:after="100" w:afterAutospacing="1"/>
      <w:jc w:val="left"/>
    </w:pPr>
    <w:rPr>
      <w:rFonts w:ascii="Arial" w:hAnsi="Arial" w:cs="Arial"/>
      <w:kern w:val="0"/>
      <w:sz w:val="16"/>
      <w:szCs w:val="16"/>
    </w:rPr>
  </w:style>
  <w:style w:type="paragraph" w:customStyle="1" w:styleId="513">
    <w:name w:val="List Paragraph2"/>
    <w:basedOn w:val="1"/>
    <w:autoRedefine/>
    <w:qFormat/>
    <w:uiPriority w:val="0"/>
    <w:pPr>
      <w:ind w:firstLine="420" w:firstLineChars="200"/>
    </w:pPr>
    <w:rPr>
      <w:rFonts w:ascii="Calibri" w:hAnsi="Calibri"/>
      <w:szCs w:val="20"/>
    </w:rPr>
  </w:style>
  <w:style w:type="paragraph" w:customStyle="1" w:styleId="514">
    <w:name w:val="xl160"/>
    <w:basedOn w:val="1"/>
    <w:autoRedefine/>
    <w:qFormat/>
    <w:uiPriority w:val="0"/>
    <w:pPr>
      <w:widowControl/>
      <w:pBdr>
        <w:left w:val="single" w:color="auto" w:sz="4" w:space="0"/>
        <w:bottom w:val="single" w:color="auto" w:sz="4" w:space="0"/>
        <w:right w:val="single" w:color="auto" w:sz="4" w:space="0"/>
      </w:pBdr>
      <w:shd w:val="clear" w:color="000000" w:fill="C0C0C0"/>
      <w:spacing w:before="100" w:beforeAutospacing="1" w:after="100" w:afterAutospacing="1"/>
      <w:jc w:val="left"/>
    </w:pPr>
    <w:rPr>
      <w:rFonts w:ascii="宋体" w:hAnsi="宋体" w:cs="宋体"/>
      <w:kern w:val="0"/>
      <w:sz w:val="20"/>
      <w:szCs w:val="20"/>
    </w:rPr>
  </w:style>
  <w:style w:type="paragraph" w:customStyle="1" w:styleId="515">
    <w:name w:val="标题_0"/>
    <w:basedOn w:val="462"/>
    <w:autoRedefine/>
    <w:qFormat/>
    <w:uiPriority w:val="0"/>
    <w:pPr>
      <w:spacing w:before="120" w:after="120" w:line="360" w:lineRule="auto"/>
      <w:jc w:val="center"/>
      <w:outlineLvl w:val="0"/>
    </w:pPr>
    <w:rPr>
      <w:rFonts w:ascii="黑体" w:hAnsi="Arial" w:eastAsia="黑体"/>
      <w:b/>
      <w:bCs/>
      <w:kern w:val="2"/>
      <w:sz w:val="32"/>
      <w:szCs w:val="32"/>
    </w:rPr>
  </w:style>
  <w:style w:type="paragraph" w:customStyle="1" w:styleId="516">
    <w:name w:val="Char Char2 Char Char Char Char1"/>
    <w:basedOn w:val="1"/>
    <w:autoRedefine/>
    <w:qFormat/>
    <w:uiPriority w:val="0"/>
    <w:rPr>
      <w:rFonts w:ascii="Tahoma" w:hAnsi="Tahoma"/>
      <w:sz w:val="24"/>
      <w:szCs w:val="20"/>
    </w:rPr>
  </w:style>
  <w:style w:type="paragraph" w:customStyle="1" w:styleId="517">
    <w:name w:val="xl16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18">
    <w:name w:val="TOC 标题2"/>
    <w:basedOn w:val="4"/>
    <w:next w:val="1"/>
    <w:autoRedefine/>
    <w:qFormat/>
    <w:uiPriority w:val="39"/>
    <w:pPr>
      <w:jc w:val="both"/>
      <w:outlineLvl w:val="9"/>
    </w:pPr>
    <w:rPr>
      <w:rFonts w:ascii="Calibri" w:hAnsi="Calibri" w:eastAsia="黑体"/>
      <w:bCs/>
      <w:szCs w:val="44"/>
      <w:lang w:val="zh-CN"/>
    </w:rPr>
  </w:style>
  <w:style w:type="paragraph" w:customStyle="1" w:styleId="519">
    <w:name w:val="xl155"/>
    <w:basedOn w:val="1"/>
    <w:autoRedefine/>
    <w:qFormat/>
    <w:uiPriority w:val="0"/>
    <w:pPr>
      <w:widowControl/>
      <w:pBdr>
        <w:top w:val="single" w:color="auto" w:sz="4" w:space="0"/>
        <w:bottom w:val="single" w:color="auto" w:sz="4" w:space="0"/>
      </w:pBdr>
      <w:shd w:val="clear" w:color="000000" w:fill="C0C0C0"/>
      <w:spacing w:before="100" w:beforeAutospacing="1" w:after="100" w:afterAutospacing="1"/>
      <w:jc w:val="left"/>
    </w:pPr>
    <w:rPr>
      <w:rFonts w:ascii="宋体" w:hAnsi="宋体" w:cs="宋体"/>
      <w:kern w:val="0"/>
      <w:sz w:val="20"/>
      <w:szCs w:val="20"/>
    </w:rPr>
  </w:style>
  <w:style w:type="paragraph" w:customStyle="1" w:styleId="520">
    <w:name w:val="列出段落2"/>
    <w:basedOn w:val="1"/>
    <w:autoRedefine/>
    <w:qFormat/>
    <w:uiPriority w:val="0"/>
    <w:pPr>
      <w:ind w:firstLine="420" w:firstLineChars="200"/>
    </w:pPr>
  </w:style>
  <w:style w:type="paragraph" w:customStyle="1" w:styleId="521">
    <w:name w:val="xl162"/>
    <w:basedOn w:val="1"/>
    <w:autoRedefine/>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522">
    <w:name w:val="_Style 10"/>
    <w:basedOn w:val="1"/>
    <w:autoRedefine/>
    <w:qFormat/>
    <w:uiPriority w:val="0"/>
    <w:pPr>
      <w:widowControl/>
      <w:spacing w:line="400" w:lineRule="exact"/>
      <w:jc w:val="center"/>
    </w:pPr>
  </w:style>
  <w:style w:type="paragraph" w:customStyle="1" w:styleId="523">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524">
    <w:name w:val="样式8"/>
    <w:basedOn w:val="166"/>
    <w:autoRedefine/>
    <w:qFormat/>
    <w:uiPriority w:val="0"/>
    <w:pPr>
      <w:spacing w:before="260" w:after="260" w:line="240" w:lineRule="auto"/>
      <w:ind w:firstLine="0" w:firstLineChars="0"/>
      <w:jc w:val="center"/>
      <w:outlineLvl w:val="1"/>
    </w:pPr>
    <w:rPr>
      <w:rFonts w:ascii="Arial" w:hAnsi="Arial"/>
      <w:b/>
      <w:bCs/>
      <w:sz w:val="72"/>
      <w:szCs w:val="32"/>
    </w:rPr>
  </w:style>
  <w:style w:type="paragraph" w:customStyle="1" w:styleId="525">
    <w:name w:val="Char1"/>
    <w:basedOn w:val="1"/>
    <w:autoRedefine/>
    <w:qFormat/>
    <w:uiPriority w:val="0"/>
    <w:pPr>
      <w:widowControl/>
      <w:spacing w:after="160" w:line="240" w:lineRule="exact"/>
      <w:jc w:val="left"/>
    </w:pPr>
  </w:style>
  <w:style w:type="paragraph" w:customStyle="1" w:styleId="526">
    <w:name w:val="Char Char Char Char Char Char Char Char Char Char2"/>
    <w:basedOn w:val="1"/>
    <w:autoRedefine/>
    <w:qFormat/>
    <w:uiPriority w:val="0"/>
    <w:pPr>
      <w:widowControl/>
      <w:spacing w:line="400" w:lineRule="exact"/>
      <w:jc w:val="center"/>
    </w:pPr>
    <w:rPr>
      <w:rFonts w:ascii="Verdana" w:hAnsi="Verdana"/>
      <w:kern w:val="0"/>
      <w:szCs w:val="20"/>
      <w:lang w:eastAsia="en-US"/>
    </w:rPr>
  </w:style>
  <w:style w:type="paragraph" w:customStyle="1" w:styleId="527">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528">
    <w:name w:val="样式 标题 1 + 居中"/>
    <w:basedOn w:val="4"/>
    <w:autoRedefine/>
    <w:qFormat/>
    <w:uiPriority w:val="0"/>
    <w:rPr>
      <w:sz w:val="32"/>
    </w:rPr>
  </w:style>
  <w:style w:type="paragraph" w:customStyle="1" w:styleId="529">
    <w:name w:val="xl154"/>
    <w:basedOn w:val="1"/>
    <w:autoRedefine/>
    <w:qFormat/>
    <w:uiPriority w:val="0"/>
    <w:pPr>
      <w:widowControl/>
      <w:pBdr>
        <w:top w:val="single" w:color="auto" w:sz="4" w:space="0"/>
        <w:left w:val="single" w:color="auto" w:sz="4" w:space="0"/>
        <w:bottom w:val="single" w:color="auto" w:sz="4" w:space="0"/>
      </w:pBdr>
      <w:shd w:val="clear" w:color="000000" w:fill="C0C0C0"/>
      <w:spacing w:before="100" w:beforeAutospacing="1" w:after="100" w:afterAutospacing="1"/>
      <w:jc w:val="left"/>
    </w:pPr>
    <w:rPr>
      <w:rFonts w:ascii="宋体" w:hAnsi="宋体" w:cs="宋体"/>
      <w:kern w:val="0"/>
      <w:sz w:val="20"/>
      <w:szCs w:val="20"/>
    </w:rPr>
  </w:style>
  <w:style w:type="paragraph" w:customStyle="1" w:styleId="530">
    <w:name w:val="fontsize"/>
    <w:basedOn w:val="1"/>
    <w:autoRedefine/>
    <w:qFormat/>
    <w:uiPriority w:val="0"/>
    <w:pPr>
      <w:widowControl/>
      <w:spacing w:before="100" w:beforeAutospacing="1" w:after="100" w:afterAutospacing="1"/>
      <w:ind w:firstLine="180"/>
      <w:jc w:val="left"/>
    </w:pPr>
    <w:rPr>
      <w:rFonts w:ascii="Arial Unicode MS" w:hAnsi="Arial Unicode MS" w:eastAsia="Arial Unicode MS"/>
      <w:color w:val="000000"/>
      <w:spacing w:val="20"/>
      <w:kern w:val="0"/>
      <w:sz w:val="24"/>
      <w:szCs w:val="20"/>
      <w:vertAlign w:val="subscript"/>
    </w:rPr>
  </w:style>
  <w:style w:type="paragraph" w:customStyle="1" w:styleId="531">
    <w:name w:val="Char Char Char Char Char Char Char Char Char Char Char Char Char2"/>
    <w:basedOn w:val="1"/>
    <w:autoRedefine/>
    <w:qFormat/>
    <w:uiPriority w:val="0"/>
    <w:pPr>
      <w:tabs>
        <w:tab w:val="left" w:pos="420"/>
      </w:tabs>
      <w:ind w:left="420" w:hanging="420"/>
    </w:pPr>
    <w:rPr>
      <w:rFonts w:ascii="Tahoma" w:hAnsi="Tahoma"/>
      <w:sz w:val="24"/>
      <w:szCs w:val="20"/>
    </w:rPr>
  </w:style>
  <w:style w:type="paragraph" w:customStyle="1" w:styleId="532">
    <w:name w:val="reader-word-layer reader-word-s1-2"/>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33">
    <w:name w:val="正文缩进1"/>
    <w:basedOn w:val="1"/>
    <w:autoRedefine/>
    <w:qFormat/>
    <w:uiPriority w:val="0"/>
    <w:pPr>
      <w:adjustRightInd w:val="0"/>
      <w:spacing w:line="312" w:lineRule="atLeast"/>
      <w:ind w:firstLine="420"/>
    </w:pPr>
    <w:rPr>
      <w:rFonts w:hint="eastAsia" w:ascii="Plotter" w:hAnsi="Plotter"/>
      <w:kern w:val="0"/>
      <w:szCs w:val="20"/>
    </w:rPr>
  </w:style>
  <w:style w:type="paragraph" w:customStyle="1" w:styleId="534">
    <w:name w:val="xl1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35">
    <w:name w:val="样式 (中文) 黑体 四号 居中 行距: 1.5 倍行距"/>
    <w:basedOn w:val="6"/>
    <w:autoRedefine/>
    <w:qFormat/>
    <w:uiPriority w:val="0"/>
    <w:pPr>
      <w:spacing w:before="260" w:after="260" w:line="240" w:lineRule="auto"/>
      <w:ind w:firstLine="0" w:firstLineChars="0"/>
      <w:jc w:val="center"/>
    </w:pPr>
    <w:rPr>
      <w:rFonts w:hAnsi="Times New Roman" w:cs="宋体"/>
      <w:b/>
      <w:bCs/>
      <w:sz w:val="28"/>
    </w:rPr>
  </w:style>
  <w:style w:type="paragraph" w:customStyle="1" w:styleId="536">
    <w:name w:val="xl1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37">
    <w:name w:val="Char Char2 Char Char Char Char"/>
    <w:basedOn w:val="1"/>
    <w:autoRedefine/>
    <w:qFormat/>
    <w:uiPriority w:val="0"/>
    <w:rPr>
      <w:rFonts w:ascii="Tahoma" w:hAnsi="Tahoma"/>
      <w:sz w:val="24"/>
      <w:szCs w:val="20"/>
    </w:rPr>
  </w:style>
  <w:style w:type="paragraph" w:customStyle="1" w:styleId="538">
    <w:name w:val="Heading 41"/>
    <w:basedOn w:val="1"/>
    <w:autoRedefine/>
    <w:qFormat/>
    <w:uiPriority w:val="0"/>
    <w:pPr>
      <w:jc w:val="left"/>
      <w:outlineLvl w:val="4"/>
    </w:pPr>
    <w:rPr>
      <w:rFonts w:ascii="宋体" w:hAnsi="宋体" w:cs="宋体"/>
      <w:kern w:val="0"/>
      <w:sz w:val="32"/>
      <w:szCs w:val="32"/>
      <w:lang w:eastAsia="en-US"/>
    </w:rPr>
  </w:style>
  <w:style w:type="paragraph" w:customStyle="1" w:styleId="539">
    <w:name w:val="Char Char1 Char Char Char Char Char Char Char Char Char Char Char Char Char Char"/>
    <w:basedOn w:val="1"/>
    <w:autoRedefine/>
    <w:qFormat/>
    <w:uiPriority w:val="0"/>
    <w:pPr>
      <w:spacing w:after="160" w:line="240" w:lineRule="exact"/>
      <w:jc w:val="left"/>
    </w:pPr>
  </w:style>
  <w:style w:type="paragraph" w:styleId="540">
    <w:name w:val="No Spacing"/>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41">
    <w:name w:val="Char Char Char Char2"/>
    <w:basedOn w:val="1"/>
    <w:autoRedefine/>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542">
    <w:name w:val="xl13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43">
    <w:name w:val="reader-word-layer reader-word-s1-9"/>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44">
    <w:name w:val="德吉标题二"/>
    <w:basedOn w:val="5"/>
    <w:autoRedefine/>
    <w:qFormat/>
    <w:uiPriority w:val="0"/>
    <w:pPr>
      <w:tabs>
        <w:tab w:val="left" w:pos="1140"/>
      </w:tabs>
      <w:spacing w:line="416" w:lineRule="auto"/>
      <w:jc w:val="left"/>
    </w:pPr>
    <w:rPr>
      <w:rFonts w:ascii="仿宋_GB2312" w:eastAsia="仿宋_GB2312"/>
      <w:bCs/>
      <w:szCs w:val="32"/>
    </w:rPr>
  </w:style>
  <w:style w:type="paragraph" w:customStyle="1" w:styleId="545">
    <w:name w:val="副标题2"/>
    <w:basedOn w:val="1"/>
    <w:next w:val="1"/>
    <w:autoRedefine/>
    <w:qFormat/>
    <w:uiPriority w:val="0"/>
    <w:pPr>
      <w:spacing w:before="120" w:after="120"/>
      <w:jc w:val="left"/>
    </w:pPr>
    <w:rPr>
      <w:rFonts w:ascii="Arial" w:hAnsi="Arial"/>
      <w:b/>
      <w:bCs/>
      <w:color w:val="000000"/>
      <w:kern w:val="44"/>
      <w:sz w:val="20"/>
      <w:szCs w:val="20"/>
    </w:rPr>
  </w:style>
  <w:style w:type="paragraph" w:customStyle="1" w:styleId="546">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547">
    <w:name w:val="xl139"/>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548">
    <w:name w:val="_Style 17"/>
    <w:basedOn w:val="1"/>
    <w:autoRedefine/>
    <w:qFormat/>
    <w:uiPriority w:val="0"/>
    <w:pPr>
      <w:widowControl/>
      <w:spacing w:line="400" w:lineRule="exact"/>
      <w:jc w:val="center"/>
    </w:pPr>
  </w:style>
  <w:style w:type="paragraph" w:customStyle="1" w:styleId="549">
    <w:name w:val="正文3"/>
    <w:autoRedefine/>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550">
    <w:name w:val="font6"/>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551">
    <w:name w:val="样式 标题 2 + (中文) 宋体 (西文)五号 非(西文)粗体 段前: 6 磅 段后: 3 磅 行距: 1.5 倍行距"/>
    <w:basedOn w:val="5"/>
    <w:autoRedefine/>
    <w:qFormat/>
    <w:uiPriority w:val="0"/>
    <w:pPr>
      <w:adjustRightInd w:val="0"/>
      <w:spacing w:before="120" w:after="60" w:line="360" w:lineRule="auto"/>
      <w:jc w:val="center"/>
      <w:textAlignment w:val="baseline"/>
    </w:pPr>
    <w:rPr>
      <w:rFonts w:eastAsia="宋体"/>
      <w:kern w:val="0"/>
      <w:sz w:val="24"/>
      <w:szCs w:val="24"/>
    </w:rPr>
  </w:style>
  <w:style w:type="paragraph" w:customStyle="1" w:styleId="552">
    <w:name w:val="font10"/>
    <w:basedOn w:val="1"/>
    <w:autoRedefine/>
    <w:qFormat/>
    <w:uiPriority w:val="0"/>
    <w:pPr>
      <w:widowControl/>
      <w:spacing w:before="100" w:beforeAutospacing="1" w:after="100" w:afterAutospacing="1"/>
      <w:jc w:val="left"/>
    </w:pPr>
    <w:rPr>
      <w:rFonts w:ascii="宋体" w:hAnsi="宋体" w:cs="宋体"/>
      <w:kern w:val="0"/>
      <w:sz w:val="16"/>
      <w:szCs w:val="16"/>
    </w:rPr>
  </w:style>
  <w:style w:type="paragraph" w:customStyle="1" w:styleId="553">
    <w:name w:val="font9"/>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554">
    <w:name w:val="Char Char1 Char Char Char2"/>
    <w:basedOn w:val="16"/>
    <w:autoRedefine/>
    <w:qFormat/>
    <w:uiPriority w:val="0"/>
    <w:rPr>
      <w:rFonts w:ascii="Calibri" w:hAnsi="Calibri"/>
      <w:sz w:val="21"/>
      <w:szCs w:val="24"/>
    </w:rPr>
  </w:style>
  <w:style w:type="paragraph" w:customStyle="1" w:styleId="555">
    <w:name w:val="正文11"/>
    <w:autoRedefine/>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556">
    <w:name w:val="Char Char2 Char Char Char Char2"/>
    <w:basedOn w:val="1"/>
    <w:autoRedefine/>
    <w:qFormat/>
    <w:uiPriority w:val="0"/>
    <w:rPr>
      <w:rFonts w:ascii="Tahoma" w:hAnsi="Tahoma"/>
      <w:sz w:val="24"/>
      <w:szCs w:val="20"/>
    </w:rPr>
  </w:style>
  <w:style w:type="paragraph" w:customStyle="1" w:styleId="557">
    <w:name w:val="xl1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58">
    <w:name w:val="xl170"/>
    <w:basedOn w:val="1"/>
    <w:autoRedefine/>
    <w:qFormat/>
    <w:uiPriority w:val="0"/>
    <w:pPr>
      <w:widowControl/>
      <w:pBdr>
        <w:left w:val="single" w:color="auto" w:sz="4" w:space="0"/>
        <w:bottom w:val="single" w:color="auto" w:sz="4" w:space="0"/>
        <w:right w:val="single" w:color="auto" w:sz="4" w:space="0"/>
      </w:pBdr>
      <w:shd w:val="clear" w:color="000000" w:fill="0066CC"/>
      <w:spacing w:before="100" w:beforeAutospacing="1" w:after="100" w:afterAutospacing="1"/>
      <w:jc w:val="center"/>
    </w:pPr>
    <w:rPr>
      <w:rFonts w:ascii="宋体" w:hAnsi="宋体" w:cs="宋体"/>
      <w:kern w:val="0"/>
      <w:sz w:val="20"/>
      <w:szCs w:val="20"/>
    </w:rPr>
  </w:style>
  <w:style w:type="paragraph" w:customStyle="1" w:styleId="559">
    <w:name w:val="2-2ji"/>
    <w:basedOn w:val="5"/>
    <w:autoRedefine/>
    <w:qFormat/>
    <w:uiPriority w:val="0"/>
    <w:pPr>
      <w:spacing w:before="0" w:after="0" w:line="360" w:lineRule="auto"/>
      <w:jc w:val="center"/>
    </w:pPr>
    <w:rPr>
      <w:rFonts w:ascii="宋体" w:hAnsi="宋体" w:eastAsia="宋体"/>
      <w:bCs/>
      <w:sz w:val="36"/>
      <w:szCs w:val="24"/>
      <w:lang w:val="zh-CN"/>
    </w:rPr>
  </w:style>
  <w:style w:type="paragraph" w:customStyle="1" w:styleId="560">
    <w:name w:val="Char Char Char Char Char Char Char Char Char Char Char Char Char Char Char2"/>
    <w:basedOn w:val="1"/>
    <w:autoRedefine/>
    <w:qFormat/>
    <w:uiPriority w:val="0"/>
    <w:pPr>
      <w:widowControl/>
      <w:spacing w:line="400" w:lineRule="exact"/>
      <w:jc w:val="center"/>
    </w:pPr>
    <w:rPr>
      <w:rFonts w:ascii="Verdana" w:hAnsi="Verdana"/>
      <w:kern w:val="0"/>
      <w:szCs w:val="20"/>
      <w:lang w:eastAsia="en-US"/>
    </w:rPr>
  </w:style>
  <w:style w:type="table" w:customStyle="1" w:styleId="561">
    <w:name w:val="网格型1"/>
    <w:basedOn w:val="50"/>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62">
    <w:name w:val="网格型2"/>
    <w:basedOn w:val="50"/>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63">
    <w:name w:val="不明显参考3"/>
    <w:autoRedefine/>
    <w:qFormat/>
    <w:uiPriority w:val="0"/>
    <w:rPr>
      <w:smallCaps/>
      <w:color w:val="C0504D"/>
      <w:u w:val="single"/>
    </w:rPr>
  </w:style>
  <w:style w:type="character" w:customStyle="1" w:styleId="564">
    <w:name w:val="书籍标题3"/>
    <w:autoRedefine/>
    <w:qFormat/>
    <w:uiPriority w:val="0"/>
    <w:rPr>
      <w:b/>
      <w:bCs/>
      <w:smallCaps/>
      <w:spacing w:val="5"/>
    </w:rPr>
  </w:style>
  <w:style w:type="character" w:customStyle="1" w:styleId="565">
    <w:name w:val="明显参考3"/>
    <w:autoRedefine/>
    <w:qFormat/>
    <w:uiPriority w:val="0"/>
    <w:rPr>
      <w:b/>
      <w:bCs/>
      <w:smallCaps/>
      <w:color w:val="C0504D"/>
      <w:spacing w:val="5"/>
      <w:u w:val="single"/>
    </w:rPr>
  </w:style>
  <w:style w:type="character" w:customStyle="1" w:styleId="566">
    <w:name w:val="明显强调3"/>
    <w:autoRedefine/>
    <w:qFormat/>
    <w:uiPriority w:val="0"/>
    <w:rPr>
      <w:b/>
      <w:bCs/>
      <w:i/>
      <w:iCs/>
      <w:color w:val="4F81BD"/>
    </w:rPr>
  </w:style>
  <w:style w:type="character" w:customStyle="1" w:styleId="567">
    <w:name w:val="不明显强调3"/>
    <w:autoRedefine/>
    <w:qFormat/>
    <w:uiPriority w:val="0"/>
    <w:rPr>
      <w:i/>
      <w:iCs/>
      <w:color w:val="808080"/>
    </w:rPr>
  </w:style>
  <w:style w:type="paragraph" w:customStyle="1" w:styleId="568">
    <w:name w:val="修订2"/>
    <w:autoRedefine/>
    <w:qFormat/>
    <w:uiPriority w:val="0"/>
    <w:rPr>
      <w:rFonts w:ascii="Times New Roman" w:hAnsi="Times New Roman" w:eastAsia="宋体" w:cs="Times New Roman"/>
      <w:kern w:val="2"/>
      <w:sz w:val="21"/>
      <w:szCs w:val="24"/>
      <w:lang w:val="en-US" w:eastAsia="zh-CN" w:bidi="ar-SA"/>
    </w:rPr>
  </w:style>
  <w:style w:type="paragraph" w:customStyle="1" w:styleId="569">
    <w:name w:val="TOC 标题3"/>
    <w:basedOn w:val="4"/>
    <w:next w:val="1"/>
    <w:autoRedefine/>
    <w:qFormat/>
    <w:uiPriority w:val="39"/>
    <w:pPr>
      <w:jc w:val="both"/>
      <w:outlineLvl w:val="9"/>
    </w:pPr>
    <w:rPr>
      <w:rFonts w:ascii="Calibri" w:hAnsi="Calibri" w:eastAsia="黑体"/>
      <w:bCs/>
      <w:szCs w:val="44"/>
      <w:lang w:val="zh-CN"/>
    </w:rPr>
  </w:style>
  <w:style w:type="table" w:customStyle="1" w:styleId="570">
    <w:name w:val="网格型3"/>
    <w:basedOn w:val="50"/>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71">
    <w:name w:val="网格型11"/>
    <w:basedOn w:val="50"/>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72">
    <w:name w:val="网格型21"/>
    <w:basedOn w:val="50"/>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73">
    <w:name w:val="网格型4"/>
    <w:basedOn w:val="50"/>
    <w:autoRedefine/>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74">
    <w:name w:val="列出段落3"/>
    <w:basedOn w:val="1"/>
    <w:autoRedefine/>
    <w:qFormat/>
    <w:uiPriority w:val="0"/>
    <w:pPr>
      <w:ind w:firstLine="420" w:firstLineChars="200"/>
    </w:pPr>
    <w:rPr>
      <w:rFonts w:ascii="Calibri" w:hAnsi="Calibri"/>
      <w:szCs w:val="22"/>
    </w:rPr>
  </w:style>
  <w:style w:type="character" w:customStyle="1" w:styleId="575">
    <w:name w:val="正文首行缩进 2 Char"/>
    <w:basedOn w:val="75"/>
    <w:link w:val="2"/>
    <w:autoRedefine/>
    <w:semiHidden/>
    <w:qFormat/>
    <w:uiPriority w:val="99"/>
    <w:rPr>
      <w:rFonts w:ascii="宋体" w:cs="Times New Roman"/>
      <w:kern w:val="2"/>
      <w:sz w:val="21"/>
      <w:szCs w:val="24"/>
    </w:rPr>
  </w:style>
  <w:style w:type="paragraph" w:customStyle="1" w:styleId="576">
    <w:name w:val="目录 82"/>
    <w:next w:val="1"/>
    <w:autoRedefine/>
    <w:qFormat/>
    <w:uiPriority w:val="0"/>
    <w:pPr>
      <w:wordWrap w:val="0"/>
      <w:ind w:left="2550"/>
      <w:jc w:val="both"/>
    </w:pPr>
    <w:rPr>
      <w:rFonts w:ascii="Times New Roman" w:hAnsi="Times New Roman" w:eastAsia="宋体" w:cs="Times New Roman"/>
      <w:sz w:val="21"/>
      <w:lang w:val="en-US" w:eastAsia="zh-CN" w:bidi="ar-SA"/>
    </w:rPr>
  </w:style>
  <w:style w:type="character" w:customStyle="1" w:styleId="577">
    <w:name w:val="first-child"/>
    <w:basedOn w:val="52"/>
    <w:autoRedefine/>
    <w:qFormat/>
    <w:uiPriority w:val="0"/>
  </w:style>
  <w:style w:type="character" w:customStyle="1" w:styleId="578">
    <w:name w:val="hover3"/>
    <w:basedOn w:val="52"/>
    <w:autoRedefine/>
    <w:qFormat/>
    <w:uiPriority w:val="0"/>
    <w:rPr>
      <w:color w:val="5FB878"/>
    </w:rPr>
  </w:style>
  <w:style w:type="character" w:customStyle="1" w:styleId="579">
    <w:name w:val="hover4"/>
    <w:basedOn w:val="52"/>
    <w:autoRedefine/>
    <w:qFormat/>
    <w:uiPriority w:val="0"/>
    <w:rPr>
      <w:color w:val="5FB878"/>
    </w:rPr>
  </w:style>
  <w:style w:type="character" w:customStyle="1" w:styleId="580">
    <w:name w:val="hover5"/>
    <w:basedOn w:val="52"/>
    <w:autoRedefine/>
    <w:qFormat/>
    <w:uiPriority w:val="0"/>
    <w:rPr>
      <w:color w:val="FFFFFF"/>
    </w:rPr>
  </w:style>
  <w:style w:type="character" w:customStyle="1" w:styleId="581">
    <w:name w:val="layui-this"/>
    <w:basedOn w:val="52"/>
    <w:autoRedefine/>
    <w:qFormat/>
    <w:uiPriority w:val="0"/>
    <w:rPr>
      <w:bdr w:val="single" w:color="EEEEEE" w:sz="6" w:space="0"/>
      <w:shd w:val="clear" w:color="auto" w:fill="FFFFFF"/>
    </w:rPr>
  </w:style>
  <w:style w:type="paragraph" w:customStyle="1" w:styleId="582">
    <w:name w:val="合同正文"/>
    <w:basedOn w:val="1"/>
    <w:next w:val="1"/>
    <w:autoRedefine/>
    <w:qFormat/>
    <w:uiPriority w:val="0"/>
    <w:pPr>
      <w:spacing w:line="360" w:lineRule="auto"/>
      <w:ind w:firstLine="480" w:firstLineChars="200"/>
    </w:pPr>
    <w:rPr>
      <w:rFonts w:ascii="Calibri" w:hAnsi="Calibri"/>
      <w:sz w:val="24"/>
      <w:szCs w:val="20"/>
    </w:rPr>
  </w:style>
  <w:style w:type="paragraph" w:customStyle="1" w:styleId="583">
    <w:name w:val="合同一级"/>
    <w:basedOn w:val="1"/>
    <w:next w:val="1"/>
    <w:autoRedefine/>
    <w:qFormat/>
    <w:uiPriority w:val="0"/>
    <w:pPr>
      <w:spacing w:beforeLines="50" w:line="360" w:lineRule="auto"/>
      <w:ind w:firstLine="482" w:firstLineChars="200"/>
      <w:outlineLvl w:val="1"/>
    </w:pPr>
    <w:rPr>
      <w:b/>
      <w:szCs w:val="20"/>
    </w:rPr>
  </w:style>
  <w:style w:type="paragraph" w:customStyle="1" w:styleId="584">
    <w:name w:val="正文表标题"/>
    <w:next w:val="1"/>
    <w:autoRedefine/>
    <w:qFormat/>
    <w:uiPriority w:val="0"/>
    <w:pPr>
      <w:numPr>
        <w:ilvl w:val="0"/>
        <w:numId w:val="3"/>
      </w:numPr>
      <w:spacing w:beforeLines="50" w:afterLines="50"/>
      <w:jc w:val="center"/>
    </w:pPr>
    <w:rPr>
      <w:rFonts w:ascii="黑体" w:hAnsi="Times New Roman" w:eastAsia="黑体" w:cs="Times New Roman"/>
      <w:sz w:val="21"/>
      <w:lang w:val="en-US" w:eastAsia="zh-CN" w:bidi="ar-SA"/>
    </w:rPr>
  </w:style>
  <w:style w:type="paragraph" w:customStyle="1" w:styleId="585">
    <w:name w:val="表文"/>
    <w:basedOn w:val="1"/>
    <w:autoRedefine/>
    <w:qFormat/>
    <w:uiPriority w:val="0"/>
    <w:pPr>
      <w:topLinePunct/>
      <w:spacing w:before="40" w:after="40"/>
    </w:pPr>
    <w:rPr>
      <w:rFonts w:ascii="仿宋_GB2312" w:hAnsi="仿宋_GB2312" w:eastAsia="仿宋_GB2312"/>
      <w:sz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A006AC-73D2-4C20-97C3-6A283AE7D926}">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6099</Words>
  <Characters>34766</Characters>
  <Lines>289</Lines>
  <Paragraphs>81</Paragraphs>
  <TotalTime>3</TotalTime>
  <ScaleCrop>false</ScaleCrop>
  <LinksUpToDate>false</LinksUpToDate>
  <CharactersWithSpaces>40784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2021-12-01T01:19:00Z</dcterms:created>
  <dc:creator>kikmfga</dc:creator>
  <cp:lastModifiedBy>周 盛  </cp:lastModifiedBy>
  <cp:lastPrinted>2024-01-04T02:43:00Z</cp:lastPrinted>
  <dcterms:modified xsi:type="dcterms:W3CDTF">2024-04-17T07:21:15Z</dcterms:modified>
  <dc:title>江苏省房屋建筑和市政基础设施工程</dc:title>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A4DB3A6CADB54774AF72FC4277535281_13</vt:lpwstr>
  </property>
</Properties>
</file>