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880" w:firstLineChars="200"/>
        <w:rPr>
          <w:rFonts w:hint="eastAsia" w:ascii="仿宋_GB2312" w:hAnsi="仿宋" w:eastAsia="仿宋_GB2312" w:cs="仿宋"/>
          <w:sz w:val="32"/>
          <w:szCs w:val="32"/>
        </w:rPr>
      </w:pPr>
      <w:r>
        <w:rPr>
          <w:rFonts w:hint="eastAsia" w:ascii="方正大标宋简体" w:eastAsia="方正大标宋简体"/>
          <w:sz w:val="44"/>
          <w:szCs w:val="44"/>
        </w:rPr>
        <w:t>通创投公司税务审计</w:t>
      </w:r>
      <w:r>
        <w:rPr>
          <w:rFonts w:hint="eastAsia" w:ascii="方正大标宋简体" w:eastAsia="方正大标宋简体"/>
          <w:sz w:val="44"/>
          <w:szCs w:val="44"/>
          <w:lang w:eastAsia="zh-CN"/>
        </w:rPr>
        <w:t>招标文件</w:t>
      </w:r>
      <w:bookmarkStart w:id="0" w:name="_GoBack"/>
      <w:bookmarkEnd w:id="0"/>
    </w:p>
    <w:p>
      <w:pPr>
        <w:snapToGrid w:val="0"/>
        <w:spacing w:line="300" w:lineRule="auto"/>
        <w:outlineLvl w:val="0"/>
        <w:rPr>
          <w:rFonts w:ascii="黑体" w:hAnsi="黑体" w:eastAsia="黑体"/>
          <w:sz w:val="32"/>
          <w:szCs w:val="32"/>
        </w:rPr>
      </w:pPr>
      <w:r>
        <w:rPr>
          <w:rFonts w:hint="eastAsia" w:ascii="黑体" w:hAnsi="黑体" w:eastAsia="黑体"/>
          <w:sz w:val="32"/>
          <w:szCs w:val="32"/>
        </w:rPr>
        <w:t>一.报价者资格：</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具有独立承担民事责任的能力；具有良好的商业信誉和健全的财务会计制度；具有履行合同所必需的设备和专业技术能力；有依法缴纳税收和社会保障资金的良好记录；在参加此项目活动前三年内，在经营活动中没有重大违法记录。</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2.法定代表人为同一个人的两个及两个以上法人，母公司、全资子公司及其控股公司，都不得在同一采购项目相同标段中同时参加投标，一经发现，将视同围标处理。</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3.有能力提供本次采购项目所要求的服务。</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4.投标人具有行业主管部门颁发的税务师事务所执业证书。</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5.投标人没有受到过财政、税务、审计、国有资产监督管理、证券监督管理等政府部门或各级注册税务师协会处罚（提供承诺书，格式自拟）。</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6.本项目不接受任何形式的联合体投标。</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7．投标人须为南通地区（大市）注册的税务师事务所。</w:t>
      </w:r>
    </w:p>
    <w:p>
      <w:pPr>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8. 投标人须为中国注册税务师协会的A级（含）以上的税务师事务所。</w:t>
      </w:r>
    </w:p>
    <w:p>
      <w:pPr>
        <w:snapToGrid w:val="0"/>
        <w:spacing w:line="300" w:lineRule="auto"/>
        <w:outlineLvl w:val="0"/>
        <w:rPr>
          <w:rFonts w:hint="eastAsia" w:ascii="黑体" w:hAnsi="黑体" w:eastAsia="黑体"/>
          <w:sz w:val="32"/>
          <w:szCs w:val="32"/>
        </w:rPr>
      </w:pPr>
    </w:p>
    <w:p>
      <w:pPr>
        <w:snapToGrid w:val="0"/>
        <w:spacing w:line="300" w:lineRule="auto"/>
        <w:outlineLvl w:val="0"/>
        <w:rPr>
          <w:rFonts w:ascii="黑体" w:hAnsi="黑体" w:eastAsia="黑体"/>
          <w:sz w:val="32"/>
          <w:szCs w:val="32"/>
        </w:rPr>
      </w:pPr>
      <w:r>
        <w:rPr>
          <w:rFonts w:hint="eastAsia" w:ascii="黑体" w:hAnsi="黑体" w:eastAsia="黑体"/>
          <w:sz w:val="32"/>
          <w:szCs w:val="32"/>
        </w:rPr>
        <w:t>二、评审评分标准</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（一）技术标评分：（70分）</w:t>
      </w:r>
    </w:p>
    <w:tbl>
      <w:tblPr>
        <w:tblStyle w:val="2"/>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227"/>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序号</w:t>
            </w:r>
          </w:p>
        </w:tc>
        <w:tc>
          <w:tcPr>
            <w:tcW w:w="1227"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评定项目</w:t>
            </w: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评定方法和说明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1</w:t>
            </w:r>
          </w:p>
        </w:tc>
        <w:tc>
          <w:tcPr>
            <w:tcW w:w="1227"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企业荣誉</w:t>
            </w:r>
          </w:p>
          <w:p>
            <w:pPr>
              <w:spacing w:line="580" w:lineRule="exact"/>
              <w:rPr>
                <w:rFonts w:ascii="仿宋_GB2312" w:eastAsia="仿宋_GB2312"/>
                <w:sz w:val="28"/>
                <w:szCs w:val="28"/>
              </w:rPr>
            </w:pPr>
            <w:r>
              <w:rPr>
                <w:rFonts w:hint="eastAsia" w:ascii="仿宋_GB2312" w:eastAsia="仿宋_GB2312"/>
                <w:sz w:val="28"/>
                <w:szCs w:val="28"/>
              </w:rPr>
              <w:t>（5分）</w:t>
            </w: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投标人取得中国注册税务师协会的A级税务师事务所得1分、取得AA级税务师事务所得2分、取得AAA级税务师事务所得3分、取得AAAA级税务师事务所得4分、取得AAAAA级税务师事务所得5分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32" w:type="dxa"/>
            <w:vMerge w:val="restart"/>
            <w:tcBorders>
              <w:top w:val="nil"/>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2</w:t>
            </w:r>
          </w:p>
        </w:tc>
        <w:tc>
          <w:tcPr>
            <w:tcW w:w="1227" w:type="dxa"/>
            <w:vMerge w:val="restart"/>
            <w:tcBorders>
              <w:top w:val="nil"/>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拟派人员</w:t>
            </w:r>
          </w:p>
          <w:p>
            <w:pPr>
              <w:spacing w:line="580" w:lineRule="exact"/>
              <w:ind w:firstLine="560" w:firstLineChars="200"/>
              <w:rPr>
                <w:rFonts w:hint="eastAsia" w:ascii="仿宋_GB2312" w:eastAsia="仿宋_GB2312"/>
                <w:sz w:val="28"/>
                <w:szCs w:val="28"/>
              </w:rPr>
            </w:pPr>
          </w:p>
          <w:p>
            <w:pPr>
              <w:spacing w:line="580" w:lineRule="exact"/>
              <w:rPr>
                <w:rFonts w:ascii="仿宋_GB2312" w:eastAsia="仿宋_GB2312"/>
                <w:sz w:val="28"/>
                <w:szCs w:val="28"/>
              </w:rPr>
            </w:pPr>
            <w:r>
              <w:rPr>
                <w:rFonts w:hint="eastAsia" w:ascii="仿宋_GB2312" w:eastAsia="仿宋_GB2312"/>
                <w:sz w:val="28"/>
                <w:szCs w:val="28"/>
              </w:rPr>
              <w:t>（10分）</w:t>
            </w: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 xml:space="preserve">投标人拟派项目负责人为具有8年及以上执业经验的注册税务师，得5分。（提供项目负责人注册税务师执业证书为准及社保机构出具并盖章的投标人为拟派本项目人员缴纳2023年9月-2024年2月连续六个月的养老保险缴费清单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2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 xml:space="preserve">投标人拟派项目组成员（除项目负责人外）须为具有5年及以上执业经验的注册税务师，每1人得1分，最高5分，（提供项目组成员注册税务师执业证书为准及社保机构出具并盖章的投标人为拟派本项目人员缴纳2023年9月-2024年2月连续六个月的养老保险缴费清单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3</w:t>
            </w:r>
          </w:p>
        </w:tc>
        <w:tc>
          <w:tcPr>
            <w:tcW w:w="1227"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业绩</w:t>
            </w:r>
          </w:p>
          <w:p>
            <w:pPr>
              <w:spacing w:line="580" w:lineRule="exact"/>
              <w:rPr>
                <w:rFonts w:ascii="仿宋_GB2312" w:eastAsia="仿宋_GB2312"/>
                <w:sz w:val="28"/>
                <w:szCs w:val="28"/>
              </w:rPr>
            </w:pPr>
            <w:r>
              <w:rPr>
                <w:rFonts w:hint="eastAsia" w:ascii="仿宋_GB2312" w:eastAsia="仿宋_GB2312"/>
                <w:sz w:val="28"/>
                <w:szCs w:val="28"/>
              </w:rPr>
              <w:t>（15分）</w:t>
            </w: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对投标人近3年承担过的国有企业、大型房地产企业税务咨询及代理服务工作的业绩进行评分：3分/项目，最高15分。（本项评审以2020-2022年度委托合同为准）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32" w:type="dxa"/>
            <w:vMerge w:val="restart"/>
            <w:tcBorders>
              <w:top w:val="nil"/>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4</w:t>
            </w:r>
          </w:p>
        </w:tc>
        <w:tc>
          <w:tcPr>
            <w:tcW w:w="1227" w:type="dxa"/>
            <w:vMerge w:val="restart"/>
            <w:tcBorders>
              <w:top w:val="nil"/>
              <w:left w:val="single" w:color="auto" w:sz="4" w:space="0"/>
              <w:bottom w:val="single" w:color="auto" w:sz="4" w:space="0"/>
              <w:right w:val="single" w:color="auto" w:sz="4" w:space="0"/>
            </w:tcBorders>
            <w:vAlign w:val="center"/>
          </w:tcPr>
          <w:p>
            <w:pPr>
              <w:spacing w:line="580" w:lineRule="exact"/>
              <w:rPr>
                <w:rFonts w:ascii="仿宋_GB2312" w:eastAsia="仿宋_GB2312"/>
                <w:sz w:val="28"/>
                <w:szCs w:val="28"/>
              </w:rPr>
            </w:pPr>
            <w:r>
              <w:rPr>
                <w:rFonts w:hint="eastAsia" w:ascii="仿宋_GB2312" w:eastAsia="仿宋_GB2312"/>
                <w:sz w:val="28"/>
                <w:szCs w:val="28"/>
              </w:rPr>
              <w:t>税务代理方案及服务承诺</w:t>
            </w:r>
          </w:p>
          <w:p>
            <w:pPr>
              <w:spacing w:line="580" w:lineRule="exact"/>
              <w:rPr>
                <w:rFonts w:ascii="仿宋_GB2312" w:eastAsia="仿宋_GB2312"/>
                <w:sz w:val="28"/>
                <w:szCs w:val="28"/>
              </w:rPr>
            </w:pPr>
            <w:r>
              <w:rPr>
                <w:rFonts w:hint="eastAsia" w:ascii="仿宋_GB2312" w:eastAsia="仿宋_GB2312"/>
                <w:sz w:val="28"/>
                <w:szCs w:val="28"/>
              </w:rPr>
              <w:t>（40分）</w:t>
            </w: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根据投标人提供的税务咨询及代理方案进行评定，分优良中差等级。优得25-30分，良得16-24分，中得1-15分。无税务代理方案或方案不具体的，该项不得分。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22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7159" w:type="dxa"/>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根据投标人提供的服务承诺进行评定，分优良中差等级。优得6-10分，良得3-5分，中得1-2分。无服务承诺或服务承诺不具体的，该项不得分。</w:t>
            </w:r>
          </w:p>
        </w:tc>
      </w:tr>
    </w:tbl>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（二）商务标评分：（30分）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a、确定有效报价：投标报价低于招标人设定的招标控制价为有效报价（高于或等于招标控制价的投标报价作废标处理），本项目招标控制价为18万元。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b、无效报价、被宣布为废标的投标报价不参与评标基准价的计算。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c、评标基准价为所有有效投标报价的算术平均值。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d、投标报价与评标基准价相等的得30分。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各投标人的投标报价与评标基准价相比较，每上浮1%扣0.9分，每下浮1%扣0.6分。不足1%的，采用插入法，得分保留小数点后两位。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评标结束后，除确认存在计算错误外，各分项评标基准价不因招投标当事人质疑、投诉、复议以及其它任何情形而改变。</w:t>
      </w:r>
    </w:p>
    <w:p>
      <w:pPr>
        <w:snapToGrid w:val="0"/>
        <w:spacing w:line="300" w:lineRule="auto"/>
        <w:outlineLvl w:val="0"/>
        <w:rPr>
          <w:rFonts w:eastAsia="黑体"/>
          <w:sz w:val="32"/>
          <w:szCs w:val="32"/>
        </w:rPr>
      </w:pPr>
      <w:r>
        <w:rPr>
          <w:rFonts w:hint="eastAsia" w:ascii="黑体" w:hAnsi="黑体" w:eastAsia="黑体"/>
          <w:sz w:val="32"/>
          <w:szCs w:val="32"/>
        </w:rPr>
        <w:t>三、投标文件组成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投标文件由资格审查文件、商务技术文件、报价文件三部分组成，相关格式参见附件。</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一、资格审查文件（不能出现报价、商务技术文件）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1、有效的关于资格的声明函；</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2、法定代表人身份证明书（提供复印件并加盖公章）；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3、法定代表人授权委托书原件（如有授权），投标代表本人身份证复印件；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4、有效的营业执照复印件；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5、有效的食品经营许可证复印件；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6、有效的投标人声明函原件；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7、招标公告资格要求提供相应的佐证材料；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8、其它需要提交的资格审查证明材料。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注：以上材料均需加盖公章，如为复印件，须为有效原件的复印件，否则按资格审查不通过处理。</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二、商务技术文件（不能出现报价）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1、投标响应函；</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2、评审评分项技术响应评分中所涉及的事项需提供的所有资料；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3、评审评分项中未涉及的事项，投标人认为需要提交的其他资料；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4、招标文件中要求提供的其他材料。</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三、报价文件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1、开标一览表。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项目名称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投标文件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对应投标文件填写：资格审查文件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对应投标文件填写：商务技术文件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对应投标文件填写：报价文件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（资格后审）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投标供应商：参加投标供应商全称（公章）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日  期：      年  月  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4ZWJiYmZmMDY5ZTM3OGJiZmIzYjdlNGZmNDdjOTIifQ=="/>
  </w:docVars>
  <w:rsids>
    <w:rsidRoot w:val="000D0DAD"/>
    <w:rsid w:val="000D0DAD"/>
    <w:rsid w:val="001A7BBD"/>
    <w:rsid w:val="002B39B7"/>
    <w:rsid w:val="007D057B"/>
    <w:rsid w:val="00F533FA"/>
    <w:rsid w:val="6667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首行缩进"/>
    <w:basedOn w:val="1"/>
    <w:next w:val="1"/>
    <w:uiPriority w:val="0"/>
    <w:pPr>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276</Words>
  <Characters>1575</Characters>
  <Lines>13</Lines>
  <Paragraphs>3</Paragraphs>
  <TotalTime>0</TotalTime>
  <ScaleCrop>false</ScaleCrop>
  <LinksUpToDate>false</LinksUpToDate>
  <CharactersWithSpaces>1848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2024-04-03T08:37:00Z</dcterms:created>
  <dc:creator>NTKO</dc:creator>
  <cp:lastModifiedBy>花儿</cp:lastModifiedBy>
  <dcterms:modified xsi:type="dcterms:W3CDTF">2024-04-03T08:44:54Z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E79A7AEE15034FBE8AA382D93D7D4A8D_12</vt:lpwstr>
  </property>
</Properties>
</file>