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kinsoku/>
        <w:wordWrap/>
        <w:overflowPunct/>
        <w:topLinePunct w:val="0"/>
        <w:bidi w:val="0"/>
        <w:adjustRightInd/>
        <w:spacing w:line="590" w:lineRule="exact"/>
        <w:textAlignment w:val="auto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 w:bidi="ar"/>
        </w:rPr>
        <w:t>1</w:t>
      </w:r>
    </w:p>
    <w:tbl>
      <w:tblPr>
        <w:tblStyle w:val="4"/>
        <w:tblW w:w="14595" w:type="dxa"/>
        <w:tblInd w:w="-7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080"/>
        <w:gridCol w:w="945"/>
        <w:gridCol w:w="960"/>
        <w:gridCol w:w="1230"/>
        <w:gridCol w:w="840"/>
        <w:gridCol w:w="1380"/>
        <w:gridCol w:w="1020"/>
        <w:gridCol w:w="5499"/>
        <w:gridCol w:w="831"/>
      </w:tblGrid>
      <w:tr>
        <w:trPr>
          <w:trHeight w:val="942" w:hRule="atLeast"/>
        </w:trPr>
        <w:tc>
          <w:tcPr>
            <w:tcW w:w="1459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大标宋简体" w:cs="Times New Roman"/>
                <w:color w:val="000000"/>
                <w:sz w:val="44"/>
                <w:szCs w:val="44"/>
              </w:rPr>
            </w:pPr>
            <w:r>
              <w:rPr>
                <w:rFonts w:hint="default" w:ascii="Times New Roman" w:hAnsi="Times New Roman" w:eastAsia="方正大标宋简体" w:cs="Times New Roman"/>
                <w:color w:val="000000"/>
                <w:kern w:val="0"/>
                <w:sz w:val="40"/>
                <w:szCs w:val="40"/>
                <w:lang w:bidi="ar"/>
              </w:rPr>
              <w:t>南通市中央创新区建设投资有限公司及子公司202</w:t>
            </w:r>
            <w:r>
              <w:rPr>
                <w:rFonts w:hint="eastAsia" w:ascii="Times New Roman" w:hAnsi="Times New Roman" w:eastAsia="方正大标宋简体" w:cs="Times New Roman"/>
                <w:color w:val="000000"/>
                <w:kern w:val="0"/>
                <w:sz w:val="40"/>
                <w:szCs w:val="4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大标宋简体" w:cs="Times New Roman"/>
                <w:color w:val="000000"/>
                <w:kern w:val="0"/>
                <w:sz w:val="40"/>
                <w:szCs w:val="40"/>
                <w:lang w:bidi="ar"/>
              </w:rPr>
              <w:t>年第一批招聘岗位简介表</w:t>
            </w:r>
          </w:p>
        </w:tc>
      </w:tr>
      <w:tr>
        <w:trPr>
          <w:trHeight w:val="57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部门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其他资格条件和说明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rPr>
          <w:trHeight w:val="10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南通市中央创新区建设投资有限公司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风控审计部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审计专员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全日制本科及以上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建筑工程类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1.1992年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2.有造价员或二级造价师以上从业资格证优先;有工程审计经验者优先。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298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财务部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成本会计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全日制本科及以上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审计类</w:t>
            </w:r>
          </w:p>
        </w:tc>
        <w:tc>
          <w:tcPr>
            <w:tcW w:w="54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1.1987年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2.会计中级以上职称;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3.具有5年以上会计岗位工作经验，有房建工程领域成本核算经验者优先。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860" w:hRule="atLeast"/>
        </w:trPr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南通市中央创新区科创产业发展有限公司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201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前期设计部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前期专员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全日制本科及以上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建筑工程类或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规划类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相关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1.1992年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2.有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3年以上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房地产前期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经验。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20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成本合约部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造价工程师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全日制本科及以上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建筑工程类或相关专业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1.1987年1月1日（含）以后出生；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2.具备中级及以上职称；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3.有3年以上成本管控工作经验。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282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南通高等研究院有限公司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301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产业研究中心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产业研究与招商专员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全日制硕士研究生及以上或“双一流”建设高校全日制本科以上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54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1.1992年1月1日(含）以后出生；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2.3年以上工作经验，有较强的沟通能力和开拓能力，具备在市外地区开展工作条件，能吃苦耐劳，适合男性；                            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.在经济发达地区有2年以上驻外招商经历，有一定招商资源积累和成功招商案例者优先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芯片或集成电路类相关专业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者优先。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282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302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产业研究与招商专员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全日制硕士研究生及以上或“双一流”建设高校全日制本科以上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不限</w:t>
            </w:r>
          </w:p>
        </w:tc>
        <w:tc>
          <w:tcPr>
            <w:tcW w:w="54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1.1992年1月1日(含）以后出生；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2.3年及以上工作经验，有较强的沟通能力和开拓能力，具备在市外地区开展工作条件，能吃苦耐劳，适合男性；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.在经济发达地区2年以上驻外招商经历，有一定招商资源和成功招商案例者优先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大数据、软件服务和人工智能类相关专业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者优先。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282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南通高等研究院有限公司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303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产业研究中心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产业研究与招商专员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全日制硕士研究生及以上或“双一流”建设高校全日制本科以上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不限</w:t>
            </w:r>
          </w:p>
        </w:tc>
        <w:tc>
          <w:tcPr>
            <w:tcW w:w="54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1.1992年1月1日(含）以后出生；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2.3年及以上工作经验，有较强的沟通能力和开拓能力，具备在市外地区开展工作条件，能吃苦耐劳，适合男性；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.经济发达地区有2年以上驻外招商经历，有一定招商资源和成功招商案例者优先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光电子类相关专业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者优先。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282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304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研究员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全日制硕士研究生及以上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计算机类、电子信息类等相关</w:t>
            </w:r>
          </w:p>
        </w:tc>
        <w:tc>
          <w:tcPr>
            <w:tcW w:w="54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1.1992年1月1日（含）以后出生,博士研究生年龄可以放宽5岁；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2.较强逻辑思维能力、书面表达能力、人际交往能力；执行力强，有责任心，有钻研精神；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3.本科获“双一流”高校学历（或同级别海外高校学历）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优先；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4.有实验室工作经验或行业研究背景者优先。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1905" w:hRule="atLeast"/>
        </w:trPr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南通元创科技投资有限公司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401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总经理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助理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全日制研究生及以上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5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1.1982年1月1日（含）以后出生；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2.具有私募基金从业资格，具有股权投资机构工作经验及团队管理经验；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3.具有新一代信息技术、高端纺织、智慧建筑、新材料、医药等战略新兴产业领域投资项目全流程经验（提供书面材料）；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4.具备私募股权投资基金的管理工作经验；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5.具有科创投资生态圈工作关系及较强的业务开拓和沟通协调能力；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6.条件特别优秀者可放宽相关条件限制。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859" w:hRule="atLeast"/>
        </w:trPr>
        <w:tc>
          <w:tcPr>
            <w:tcW w:w="50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大标宋简体">
    <w:altName w:val="苹方-简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33D991"/>
    <w:rsid w:val="BF33D991"/>
    <w:rsid w:val="BFF3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2022-01-20T00:53:00Z</dcterms:created>
  <dc:creator>victoryz</dc:creator>
  <cp:lastModifiedBy>victoryz</cp:lastModifiedBy>
  <dcterms:modified xsi:type="dcterms:W3CDTF">2022-01-19T17:24:32Z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